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AA4D7">
      <w:pPr>
        <w:pStyle w:val="9"/>
        <w:ind w:firstLine="0" w:firstLineChars="0"/>
        <w:outlineLvl w:val="9"/>
        <w:rPr>
          <w:rFonts w:hint="eastAsia"/>
        </w:rPr>
      </w:pPr>
    </w:p>
    <w:p w14:paraId="3D32B9A7">
      <w:pPr>
        <w:pStyle w:val="9"/>
        <w:ind w:firstLine="0" w:firstLineChars="0"/>
        <w:outlineLvl w:val="9"/>
        <w:rPr>
          <w:rFonts w:hint="eastAsia"/>
        </w:rPr>
      </w:pPr>
    </w:p>
    <w:p w14:paraId="5E0904B9">
      <w:pPr>
        <w:pStyle w:val="9"/>
        <w:ind w:firstLine="0" w:firstLineChars="0"/>
        <w:outlineLvl w:val="9"/>
        <w:rPr>
          <w:rFonts w:hint="eastAsia"/>
        </w:rPr>
      </w:pPr>
    </w:p>
    <w:p w14:paraId="7838C26F">
      <w:pPr>
        <w:ind w:firstLine="88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油气井下作业中心原孤东特车大队区域光伏发电工程</w:t>
      </w:r>
    </w:p>
    <w:p w14:paraId="348809B8">
      <w:pPr>
        <w:ind w:firstLine="88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节能验收报告</w:t>
      </w:r>
    </w:p>
    <w:p w14:paraId="61E9B92D">
      <w:pPr>
        <w:ind w:firstLine="640"/>
        <w:rPr>
          <w:rFonts w:hint="eastAsia"/>
        </w:rPr>
      </w:pPr>
    </w:p>
    <w:p w14:paraId="5E71CB50">
      <w:pPr>
        <w:ind w:firstLine="640"/>
        <w:rPr>
          <w:rFonts w:hint="eastAsia"/>
        </w:rPr>
      </w:pPr>
    </w:p>
    <w:p w14:paraId="4E919F58">
      <w:pPr>
        <w:ind w:firstLine="640"/>
        <w:rPr>
          <w:rFonts w:hint="eastAsia"/>
        </w:rPr>
      </w:pPr>
    </w:p>
    <w:p w14:paraId="439AC04B">
      <w:pPr>
        <w:ind w:firstLine="640"/>
        <w:rPr>
          <w:rFonts w:hint="eastAsia"/>
        </w:rPr>
      </w:pPr>
    </w:p>
    <w:p w14:paraId="22CFE878">
      <w:pPr>
        <w:ind w:firstLine="640"/>
        <w:rPr>
          <w:rFonts w:hint="eastAsia"/>
        </w:rPr>
      </w:pPr>
    </w:p>
    <w:p w14:paraId="1D161AAA">
      <w:pPr>
        <w:ind w:firstLine="640"/>
        <w:rPr>
          <w:rFonts w:hint="eastAsia"/>
        </w:rPr>
      </w:pPr>
    </w:p>
    <w:p w14:paraId="7409A1C7">
      <w:pPr>
        <w:ind w:firstLine="640"/>
        <w:rPr>
          <w:rFonts w:hint="eastAsia"/>
        </w:rPr>
      </w:pPr>
    </w:p>
    <w:p w14:paraId="30904E13">
      <w:pPr>
        <w:ind w:firstLine="640"/>
        <w:rPr>
          <w:rFonts w:hint="eastAsia"/>
        </w:rPr>
      </w:pPr>
    </w:p>
    <w:p w14:paraId="2B0FEF44">
      <w:pPr>
        <w:ind w:firstLine="640"/>
        <w:rPr>
          <w:rFonts w:hint="eastAsia"/>
        </w:rPr>
      </w:pPr>
    </w:p>
    <w:p w14:paraId="1D5ADEAB">
      <w:pPr>
        <w:ind w:firstLine="640"/>
        <w:rPr>
          <w:rFonts w:hint="eastAsia"/>
        </w:rPr>
      </w:pPr>
    </w:p>
    <w:p w14:paraId="421D0D3A">
      <w:pPr>
        <w:ind w:firstLine="640"/>
        <w:rPr>
          <w:rFonts w:hint="eastAsia"/>
        </w:rPr>
      </w:pPr>
    </w:p>
    <w:p w14:paraId="6F91525E">
      <w:pPr>
        <w:ind w:firstLine="640"/>
        <w:rPr>
          <w:rFonts w:hint="eastAsia"/>
        </w:rPr>
      </w:pPr>
    </w:p>
    <w:p w14:paraId="3511DA5C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项目建设单位：胜利石油管理局有限公司新能源开发中心</w:t>
      </w:r>
    </w:p>
    <w:p w14:paraId="08F2B8CB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</w:p>
    <w:p w14:paraId="62A7EE27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2025年7月</w:t>
      </w:r>
    </w:p>
    <w:p w14:paraId="5F684707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14:paraId="3E79B0DC">
      <w:pPr>
        <w:ind w:firstLine="0" w:firstLineChars="0"/>
        <w:jc w:val="center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承  诺  书</w:t>
      </w:r>
    </w:p>
    <w:p w14:paraId="5D82AF2D">
      <w:pPr>
        <w:ind w:firstLine="640"/>
        <w:rPr>
          <w:rFonts w:hint="eastAsia"/>
        </w:rPr>
      </w:pPr>
      <w:r>
        <w:rPr>
          <w:rFonts w:hint="eastAsia"/>
        </w:rPr>
        <w:t>我单位承诺《</w:t>
      </w:r>
      <w:r>
        <w:rPr>
          <w:rFonts w:hint="eastAsia"/>
          <w:lang w:eastAsia="zh-CN"/>
        </w:rPr>
        <w:t>油气井下作业中心原孤东特车大队区域光伏发电工程</w:t>
      </w:r>
      <w:r>
        <w:rPr>
          <w:rFonts w:hint="eastAsia"/>
        </w:rPr>
        <w:t>节能验收报告》中所有内容均与本项目实际建设及运营情况相符，若有不符或隐瞒，我单位愿承担全部法律责任。</w:t>
      </w:r>
    </w:p>
    <w:p w14:paraId="79874795">
      <w:pPr>
        <w:ind w:firstLine="640"/>
        <w:rPr>
          <w:rFonts w:hint="eastAsia"/>
        </w:rPr>
      </w:pPr>
      <w:r>
        <w:rPr>
          <w:rFonts w:hint="eastAsia"/>
        </w:rPr>
        <w:t>特此承诺。</w:t>
      </w:r>
    </w:p>
    <w:p w14:paraId="55D21118">
      <w:pPr>
        <w:ind w:firstLine="640"/>
        <w:rPr>
          <w:rFonts w:hint="eastAsia"/>
        </w:rPr>
      </w:pPr>
    </w:p>
    <w:p w14:paraId="76E6AA32">
      <w:pPr>
        <w:ind w:firstLine="640"/>
        <w:rPr>
          <w:rFonts w:hint="eastAsia"/>
        </w:rPr>
      </w:pPr>
    </w:p>
    <w:p w14:paraId="0A1C3043">
      <w:pPr>
        <w:ind w:firstLine="640"/>
        <w:rPr>
          <w:rFonts w:hint="eastAsia"/>
        </w:rPr>
      </w:pPr>
    </w:p>
    <w:p w14:paraId="7674239F">
      <w:pPr>
        <w:ind w:firstLine="0" w:firstLineChars="0"/>
        <w:rPr>
          <w:rFonts w:hint="eastAsia"/>
        </w:rPr>
      </w:pPr>
      <w:r>
        <w:rPr>
          <w:rFonts w:hint="eastAsia"/>
        </w:rPr>
        <w:t>项目建设单位：胜利石油管理局有限公司新能源开发中心</w:t>
      </w:r>
    </w:p>
    <w:p w14:paraId="60878E2F">
      <w:pPr>
        <w:ind w:firstLine="0" w:firstLineChars="0"/>
        <w:rPr>
          <w:rFonts w:hint="eastAsia"/>
        </w:rPr>
      </w:pPr>
    </w:p>
    <w:p w14:paraId="4B6691FE">
      <w:pPr>
        <w:ind w:firstLine="0" w:firstLineChars="0"/>
        <w:rPr>
          <w:rFonts w:hint="eastAsia" w:eastAsia="华文仿宋"/>
          <w:lang w:eastAsia="zh-CN"/>
        </w:rPr>
      </w:pPr>
      <w:r>
        <w:rPr>
          <w:rFonts w:hint="eastAsia"/>
        </w:rPr>
        <w:t>项目建设单位负责人：</w:t>
      </w:r>
      <w:r>
        <w:rPr>
          <w:rFonts w:hint="eastAsia"/>
          <w:lang w:val="en-US" w:eastAsia="zh-CN"/>
        </w:rPr>
        <w:t>李呈刚</w:t>
      </w:r>
    </w:p>
    <w:p w14:paraId="38FB8CD9">
      <w:pPr>
        <w:ind w:firstLine="0" w:firstLineChars="0"/>
        <w:rPr>
          <w:rFonts w:hint="eastAsia"/>
        </w:rPr>
      </w:pPr>
    </w:p>
    <w:p w14:paraId="255736ED">
      <w:pPr>
        <w:ind w:firstLine="0" w:firstLineChars="0"/>
        <w:rPr>
          <w:rFonts w:hint="eastAsia"/>
        </w:rPr>
      </w:pPr>
      <w:r>
        <w:rPr>
          <w:rFonts w:hint="eastAsia"/>
        </w:rPr>
        <w:t>日期：2025年7月7日</w:t>
      </w:r>
    </w:p>
    <w:p w14:paraId="1DE2F0A0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sdt>
      <w:sdtPr>
        <w:rPr>
          <w:rFonts w:ascii="宋体" w:hAnsi="宋体" w:eastAsia="宋体"/>
          <w:sz w:val="21"/>
        </w:rPr>
        <w:id w:val="147474068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/>
          <w:sz w:val="21"/>
        </w:rPr>
      </w:sdtEndPr>
      <w:sdtContent>
        <w:p w14:paraId="2635EB64">
          <w:pPr>
            <w:spacing w:line="240" w:lineRule="auto"/>
            <w:ind w:firstLine="0" w:firstLineChars="0"/>
            <w:jc w:val="center"/>
            <w:rPr>
              <w:rFonts w:hint="eastAsia" w:ascii="黑体" w:hAnsi="黑体" w:eastAsia="黑体" w:cs="黑体"/>
              <w:szCs w:val="32"/>
            </w:rPr>
          </w:pPr>
          <w:r>
            <w:rPr>
              <w:rFonts w:hint="eastAsia" w:ascii="黑体" w:hAnsi="黑体" w:eastAsia="黑体" w:cs="黑体"/>
              <w:szCs w:val="32"/>
            </w:rPr>
            <w:t>目  录</w:t>
          </w:r>
        </w:p>
        <w:p w14:paraId="7D9416D1">
          <w:pPr>
            <w:spacing w:line="240" w:lineRule="auto"/>
            <w:ind w:firstLine="0" w:firstLineChars="0"/>
            <w:jc w:val="center"/>
            <w:rPr>
              <w:rFonts w:hint="eastAsia" w:ascii="黑体" w:hAnsi="黑体" w:eastAsia="黑体" w:cs="黑体"/>
              <w:szCs w:val="32"/>
            </w:rPr>
          </w:pPr>
        </w:p>
        <w:p w14:paraId="353C58AC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"_Toc11250"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一、 资料筹备和验收组组成情况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_Toc11250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72284FD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"_Toc3296"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二、 项目建设单位概况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_Toc3296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3254DB31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"_Toc21016"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三、 项目建设进展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_Toc21016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7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C69B53F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"_Toc17752"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四、 项目建设方案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_Toc17752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8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E5B38E7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"_Toc29195"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五、 主要用能设备及其用能水平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_Toc29195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CA30269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"_Toc11022"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六、 节能措施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_Toc11022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19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4A03FCC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"_Toc2916"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七、 计量器具配备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_Toc2916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2BC6426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"_Toc11824"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八、 项目年综合能源消耗量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_Toc11824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05B0D5A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九、 项目能效水平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_Toc2196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01BFFCE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"_Toc18051"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十、 结论和问题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_Toc18051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D312799">
          <w:pPr>
            <w:spacing w:line="360" w:lineRule="auto"/>
            <w:ind w:firstLine="560"/>
            <w:rPr>
              <w:rFonts w:hint="eastAsia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 w14:paraId="71C90766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14:paraId="482DD515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0" w:name="_Toc11250"/>
      <w:r>
        <w:rPr>
          <w:rFonts w:hint="eastAsia"/>
        </w:rPr>
        <w:t>资料筹备和验收组组成情况</w:t>
      </w:r>
      <w:bookmarkEnd w:id="0"/>
    </w:p>
    <w:p w14:paraId="21545861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验收依据</w:t>
      </w:r>
    </w:p>
    <w:p w14:paraId="3BCF3B3C">
      <w:pPr>
        <w:numPr>
          <w:ilvl w:val="0"/>
          <w:numId w:val="3"/>
        </w:numPr>
        <w:ind w:firstLine="640"/>
        <w:rPr>
          <w:rFonts w:hint="eastAsia"/>
        </w:rPr>
      </w:pPr>
      <w:r>
        <w:t>法律、法规、规范性文件</w:t>
      </w:r>
    </w:p>
    <w:p w14:paraId="182036E7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《固定资产投资项目节能审查办法》国家发改委令2023 年第2号</w:t>
      </w:r>
    </w:p>
    <w:p w14:paraId="26E7080C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《企业投资项目事中事后监管办法》国家发改委令2018年第 14号</w:t>
      </w:r>
    </w:p>
    <w:p w14:paraId="082C7CD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《固定资产投资项目节能验收工作指南》2018年版</w:t>
      </w:r>
    </w:p>
    <w:p w14:paraId="2DBD2A3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《山东省固定资产投资项目节能验收管理办法（试行）》【2024】657号</w:t>
      </w:r>
    </w:p>
    <w:p w14:paraId="4D08E348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《重点用能产品设备能效先进水平、节能水平和准入水平 （2022年版）》发改环资规【2022】1719号</w:t>
      </w:r>
    </w:p>
    <w:p w14:paraId="69042B8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《国家工业和信息化领域节能技术装备推荐目录（2022年版）》</w:t>
      </w:r>
    </w:p>
    <w:p w14:paraId="6007BDBA">
      <w:pPr>
        <w:numPr>
          <w:ilvl w:val="0"/>
          <w:numId w:val="3"/>
        </w:numPr>
        <w:ind w:firstLine="640"/>
        <w:rPr>
          <w:rFonts w:hint="eastAsia"/>
        </w:rPr>
      </w:pPr>
      <w:r>
        <w:t>相关标准和规范</w:t>
      </w:r>
    </w:p>
    <w:p w14:paraId="24066BE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GB17167-2006 用能单位能源计量器具配备和管理通则</w:t>
      </w:r>
    </w:p>
    <w:p w14:paraId="25673765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 xml:space="preserve">GB19577-2015 冷水机组能效限定值及能效等级 </w:t>
      </w:r>
    </w:p>
    <w:p w14:paraId="03C4DE6F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GB19761-2020 通风机能效限定值及能效等级</w:t>
      </w:r>
    </w:p>
    <w:p w14:paraId="3295F967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GB20052-2020 电力变压器能效限定值及能效等级</w:t>
      </w:r>
    </w:p>
    <w:p w14:paraId="3E8DBD49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GB21455- 2019 房间空气调节器能效限定值及能效等级</w:t>
      </w:r>
    </w:p>
    <w:p w14:paraId="5EA35D5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GB30255-2019 室内照明用 LED 产品能效限定值及能效等级</w:t>
      </w:r>
    </w:p>
    <w:p w14:paraId="3C40481E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GB55015- 2021建筑节能与可再生能源利用通用规范</w:t>
      </w:r>
    </w:p>
    <w:p w14:paraId="091B704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GB/T 2589-2020 综合能耗计算通则</w:t>
      </w:r>
    </w:p>
    <w:p w14:paraId="7CAE40C8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GB/T 23331-2020 能源管理体系要求和使用指南</w:t>
      </w:r>
    </w:p>
    <w:p w14:paraId="43F82A53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t>GB/T 50063</w:t>
      </w:r>
      <w:r>
        <w:rPr>
          <w:rFonts w:hint="eastAsia"/>
        </w:rPr>
        <w:t>-2017电力装置电测量仪表装置设计规范</w:t>
      </w:r>
    </w:p>
    <w:p w14:paraId="227C7AC3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NB/T 10394-2020 光伏发电系统效能规范</w:t>
      </w:r>
    </w:p>
    <w:p w14:paraId="1C7E3EB1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 xml:space="preserve">TCEEIA 258-2016 6kV~35kV 变压器能效限定值及能效等级 </w:t>
      </w:r>
    </w:p>
    <w:p w14:paraId="3237DA7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T/SARI 0002-2019 组合式空调机组能效限额及能源效率等级</w:t>
      </w:r>
    </w:p>
    <w:p w14:paraId="23C458ED">
      <w:pPr>
        <w:numPr>
          <w:ilvl w:val="0"/>
          <w:numId w:val="3"/>
        </w:numPr>
        <w:ind w:firstLine="640"/>
        <w:rPr>
          <w:rFonts w:hint="eastAsia"/>
        </w:rPr>
      </w:pPr>
      <w:r>
        <w:t>其他相关资料</w:t>
      </w:r>
    </w:p>
    <w:p w14:paraId="3E944C3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</w:t>
      </w:r>
      <w:r>
        <w:rPr>
          <w:rFonts w:hint="eastAsia" w:ascii="华文仿宋" w:hAnsi="华文仿宋" w:cs="华文仿宋"/>
          <w:lang w:eastAsia="zh-CN"/>
        </w:rPr>
        <w:t>油气井下作业中心原孤东特车大队区域光伏发电工程</w:t>
      </w:r>
      <w:r>
        <w:rPr>
          <w:rFonts w:hint="eastAsia" w:ascii="华文仿宋" w:hAnsi="华文仿宋" w:cs="华文仿宋"/>
        </w:rPr>
        <w:t>可行性研究报告》</w:t>
      </w:r>
    </w:p>
    <w:p w14:paraId="5A3BFAAC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《关于胜利石油管理局有限公司</w:t>
      </w:r>
      <w:r>
        <w:rPr>
          <w:rFonts w:hint="eastAsia" w:ascii="华文仿宋" w:hAnsi="华文仿宋" w:cs="华文仿宋"/>
          <w:lang w:eastAsia="zh-CN"/>
        </w:rPr>
        <w:t>油气井下作业中心原孤东特车大队区域光伏发电工程</w:t>
      </w:r>
      <w:r>
        <w:rPr>
          <w:rFonts w:hint="eastAsia" w:ascii="华文仿宋" w:hAnsi="华文仿宋" w:cs="华文仿宋"/>
        </w:rPr>
        <w:t>可行性研究报告的批复》</w:t>
      </w:r>
    </w:p>
    <w:p w14:paraId="4A0C7086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项目设计资料、竣工资料、设备台账资料。</w:t>
      </w:r>
    </w:p>
    <w:p w14:paraId="5A45AEE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生产台账等其他相关有效资料。</w:t>
      </w:r>
    </w:p>
    <w:p w14:paraId="3E54A9AB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</w:t>
      </w:r>
      <w:r>
        <w:rPr>
          <w:rFonts w:hint="eastAsia"/>
          <w:b/>
          <w:bCs/>
        </w:rPr>
        <w:t>人员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85"/>
        <w:gridCol w:w="1935"/>
        <w:gridCol w:w="2955"/>
        <w:gridCol w:w="1793"/>
      </w:tblGrid>
      <w:tr w14:paraId="037A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4" w:type="dxa"/>
            <w:vAlign w:val="center"/>
          </w:tcPr>
          <w:p w14:paraId="50FDCA5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85" w:type="dxa"/>
            <w:vAlign w:val="center"/>
          </w:tcPr>
          <w:p w14:paraId="3348D89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935" w:type="dxa"/>
            <w:vAlign w:val="center"/>
          </w:tcPr>
          <w:p w14:paraId="0CAA7A1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节能验收分工</w:t>
            </w:r>
          </w:p>
        </w:tc>
        <w:tc>
          <w:tcPr>
            <w:tcW w:w="2955" w:type="dxa"/>
            <w:vAlign w:val="center"/>
          </w:tcPr>
          <w:p w14:paraId="031A9EA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职务/职称</w:t>
            </w:r>
          </w:p>
        </w:tc>
        <w:tc>
          <w:tcPr>
            <w:tcW w:w="1793" w:type="dxa"/>
            <w:vAlign w:val="center"/>
          </w:tcPr>
          <w:p w14:paraId="2F44F51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所在单位</w:t>
            </w:r>
          </w:p>
        </w:tc>
      </w:tr>
      <w:tr w14:paraId="62B5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00495AC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 w14:paraId="192D1808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邵江华</w:t>
            </w:r>
          </w:p>
        </w:tc>
        <w:tc>
          <w:tcPr>
            <w:tcW w:w="1935" w:type="dxa"/>
            <w:vAlign w:val="center"/>
          </w:tcPr>
          <w:p w14:paraId="71FFAF2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2955" w:type="dxa"/>
            <w:vAlign w:val="center"/>
          </w:tcPr>
          <w:p w14:paraId="78EFD8A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电力专家</w:t>
            </w:r>
          </w:p>
        </w:tc>
        <w:tc>
          <w:tcPr>
            <w:tcW w:w="1793" w:type="dxa"/>
            <w:vAlign w:val="center"/>
          </w:tcPr>
          <w:p w14:paraId="245818A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207F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66FE747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 w14:paraId="4AC737E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王振杰</w:t>
            </w:r>
          </w:p>
        </w:tc>
        <w:tc>
          <w:tcPr>
            <w:tcW w:w="1935" w:type="dxa"/>
            <w:vAlign w:val="center"/>
          </w:tcPr>
          <w:p w14:paraId="57B93D2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副组长</w:t>
            </w:r>
          </w:p>
        </w:tc>
        <w:tc>
          <w:tcPr>
            <w:tcW w:w="2955" w:type="dxa"/>
            <w:vAlign w:val="center"/>
          </w:tcPr>
          <w:p w14:paraId="786B50D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经理</w:t>
            </w:r>
          </w:p>
        </w:tc>
        <w:tc>
          <w:tcPr>
            <w:tcW w:w="1793" w:type="dxa"/>
            <w:vAlign w:val="center"/>
          </w:tcPr>
          <w:p w14:paraId="48091BE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0560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4C5C1C7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85" w:type="dxa"/>
            <w:vAlign w:val="center"/>
          </w:tcPr>
          <w:p w14:paraId="04BD68B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侯强强</w:t>
            </w:r>
          </w:p>
        </w:tc>
        <w:tc>
          <w:tcPr>
            <w:tcW w:w="1935" w:type="dxa"/>
            <w:vAlign w:val="center"/>
          </w:tcPr>
          <w:p w14:paraId="7165DEC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6C209D5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副经理</w:t>
            </w:r>
          </w:p>
        </w:tc>
        <w:tc>
          <w:tcPr>
            <w:tcW w:w="1793" w:type="dxa"/>
            <w:vAlign w:val="center"/>
          </w:tcPr>
          <w:p w14:paraId="3A41B24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31F6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5A933B9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85" w:type="dxa"/>
            <w:vAlign w:val="center"/>
          </w:tcPr>
          <w:p w14:paraId="5D626B0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于军</w:t>
            </w:r>
          </w:p>
        </w:tc>
        <w:tc>
          <w:tcPr>
            <w:tcW w:w="1935" w:type="dxa"/>
            <w:vAlign w:val="center"/>
          </w:tcPr>
          <w:p w14:paraId="23B0841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45C962E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安全主任监督</w:t>
            </w:r>
          </w:p>
        </w:tc>
        <w:tc>
          <w:tcPr>
            <w:tcW w:w="1793" w:type="dxa"/>
            <w:vAlign w:val="center"/>
          </w:tcPr>
          <w:p w14:paraId="59E49A0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430F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63131F4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85" w:type="dxa"/>
            <w:vAlign w:val="center"/>
          </w:tcPr>
          <w:p w14:paraId="6FA505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李呈刚</w:t>
            </w:r>
          </w:p>
        </w:tc>
        <w:tc>
          <w:tcPr>
            <w:tcW w:w="1935" w:type="dxa"/>
            <w:vAlign w:val="center"/>
          </w:tcPr>
          <w:p w14:paraId="28C6284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55044492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电力主管师</w:t>
            </w:r>
          </w:p>
        </w:tc>
        <w:tc>
          <w:tcPr>
            <w:tcW w:w="1793" w:type="dxa"/>
            <w:vAlign w:val="center"/>
          </w:tcPr>
          <w:p w14:paraId="1FC77CE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4E77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3295121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85" w:type="dxa"/>
            <w:vAlign w:val="center"/>
          </w:tcPr>
          <w:p w14:paraId="1BE3C3E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房晓东</w:t>
            </w:r>
          </w:p>
        </w:tc>
        <w:tc>
          <w:tcPr>
            <w:tcW w:w="1935" w:type="dxa"/>
            <w:vAlign w:val="center"/>
          </w:tcPr>
          <w:p w14:paraId="0BDFAD6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1F0BB6D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1793" w:type="dxa"/>
            <w:vAlign w:val="center"/>
          </w:tcPr>
          <w:p w14:paraId="1F71091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2026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471A341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85" w:type="dxa"/>
            <w:vAlign w:val="center"/>
          </w:tcPr>
          <w:p w14:paraId="534E6D7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常英杰</w:t>
            </w:r>
          </w:p>
        </w:tc>
        <w:tc>
          <w:tcPr>
            <w:tcW w:w="1935" w:type="dxa"/>
            <w:vAlign w:val="center"/>
          </w:tcPr>
          <w:p w14:paraId="02C95C4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01E5A33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1793" w:type="dxa"/>
            <w:vAlign w:val="center"/>
          </w:tcPr>
          <w:p w14:paraId="61B2B71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7397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0DF3277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85" w:type="dxa"/>
            <w:vAlign w:val="center"/>
          </w:tcPr>
          <w:p w14:paraId="443D76F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李桂平</w:t>
            </w:r>
          </w:p>
        </w:tc>
        <w:tc>
          <w:tcPr>
            <w:tcW w:w="1935" w:type="dxa"/>
            <w:vAlign w:val="center"/>
          </w:tcPr>
          <w:p w14:paraId="0508C15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3BECD1A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1793" w:type="dxa"/>
            <w:vAlign w:val="center"/>
          </w:tcPr>
          <w:p w14:paraId="073411B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</w:tbl>
    <w:p w14:paraId="1D81804D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</w:t>
      </w:r>
      <w:r>
        <w:rPr>
          <w:rFonts w:hint="eastAsia"/>
          <w:b/>
          <w:bCs/>
        </w:rPr>
        <w:t>范围</w:t>
      </w:r>
    </w:p>
    <w:p w14:paraId="0C23C16C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项目工程建设规模及建设内容、工艺方案、总平面布置、主要用能工艺以及辅助和附属生产工序落实情况；</w:t>
      </w:r>
    </w:p>
    <w:p w14:paraId="52C00F98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项目工程主要耗能设备的型式、容量、能效等落实情况；</w:t>
      </w:r>
    </w:p>
    <w:p w14:paraId="2D231F60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项目工程建筑、工艺、设备和管理计量等方面的节能措施落实情况等；</w:t>
      </w:r>
    </w:p>
    <w:p w14:paraId="37776198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项目工程能源计量器具配备情况；</w:t>
      </w:r>
    </w:p>
    <w:p w14:paraId="79E7D523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项目工程能源消费种类、消费量、能耗水平、设备能效等级情况</w:t>
      </w:r>
    </w:p>
    <w:p w14:paraId="4DE8A683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项目工程是否采用国家明令禁止和淘汰的设备、 工艺和材料等。</w:t>
      </w:r>
    </w:p>
    <w:p w14:paraId="7148C0BC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工作过程</w:t>
      </w:r>
    </w:p>
    <w:p w14:paraId="0F16E1A3">
      <w:pPr>
        <w:numPr>
          <w:ilvl w:val="0"/>
          <w:numId w:val="6"/>
        </w:numPr>
        <w:ind w:firstLine="640"/>
        <w:rPr>
          <w:rFonts w:hint="eastAsia"/>
        </w:rPr>
      </w:pPr>
      <w:r>
        <w:rPr>
          <w:rFonts w:hint="eastAsia"/>
        </w:rPr>
        <w:t>小组成立，分工安排。中心</w:t>
      </w:r>
      <w:r>
        <w:t>于202</w:t>
      </w:r>
      <w:r>
        <w:rPr>
          <w:rFonts w:hint="eastAsia"/>
        </w:rPr>
        <w:t>4</w:t>
      </w:r>
      <w:r>
        <w:t>年1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4</w:t>
      </w:r>
      <w:r>
        <w:t>日</w:t>
      </w:r>
      <w:r>
        <w:rPr>
          <w:rFonts w:hint="eastAsia"/>
        </w:rPr>
        <w:t>组织成立了项目节能验收工作小组，进行了分工安排，并制定了验收计划。</w:t>
      </w:r>
    </w:p>
    <w:p w14:paraId="7BDAEF12">
      <w:pPr>
        <w:numPr>
          <w:ilvl w:val="0"/>
          <w:numId w:val="6"/>
        </w:numPr>
        <w:ind w:firstLine="640"/>
        <w:rPr>
          <w:rFonts w:hint="eastAsia"/>
        </w:rPr>
      </w:pPr>
      <w:r>
        <w:rPr>
          <w:rFonts w:hint="eastAsia"/>
        </w:rPr>
        <w:t>资料筹集及查验。验收组于2024年11月5日开始进行资料筹集，于8日筹集完毕。</w:t>
      </w:r>
      <w:r>
        <w:t>202</w:t>
      </w:r>
      <w:r>
        <w:rPr>
          <w:rFonts w:hint="eastAsia"/>
        </w:rPr>
        <w:t>4</w:t>
      </w:r>
      <w:r>
        <w:t xml:space="preserve"> 年 11 月 1</w:t>
      </w:r>
      <w:r>
        <w:rPr>
          <w:rFonts w:hint="eastAsia"/>
        </w:rPr>
        <w:t>2</w:t>
      </w:r>
      <w:r>
        <w:t xml:space="preserve"> 日对相关资料进行了</w:t>
      </w:r>
      <w:r>
        <w:rPr>
          <w:rFonts w:hint="eastAsia"/>
        </w:rPr>
        <w:t>查验</w:t>
      </w:r>
      <w:r>
        <w:t>。在</w:t>
      </w:r>
      <w:r>
        <w:rPr>
          <w:rFonts w:hint="eastAsia"/>
        </w:rPr>
        <w:t>资料查验</w:t>
      </w:r>
      <w:r>
        <w:t>中确认</w:t>
      </w:r>
      <w:r>
        <w:rPr>
          <w:rFonts w:hint="eastAsia"/>
        </w:rPr>
        <w:t>筹集的</w:t>
      </w:r>
      <w:r>
        <w:t>材料基本完整，并提取出在现场</w:t>
      </w:r>
      <w:r>
        <w:rPr>
          <w:rFonts w:hint="eastAsia"/>
        </w:rPr>
        <w:t>核验</w:t>
      </w:r>
      <w:r>
        <w:t>中需特别关注的重点。</w:t>
      </w:r>
    </w:p>
    <w:p w14:paraId="191282F9">
      <w:pPr>
        <w:numPr>
          <w:ilvl w:val="0"/>
          <w:numId w:val="6"/>
        </w:numPr>
        <w:tabs>
          <w:tab w:val="left" w:pos="0"/>
        </w:tabs>
        <w:ind w:firstLine="640"/>
        <w:rPr>
          <w:rFonts w:hint="eastAsia"/>
        </w:rPr>
      </w:pPr>
      <w:r>
        <w:t>现场</w:t>
      </w:r>
      <w:r>
        <w:rPr>
          <w:rFonts w:hint="eastAsia"/>
        </w:rPr>
        <w:t>核验。</w:t>
      </w:r>
      <w:r>
        <w:t>验收组于202</w:t>
      </w:r>
      <w:r>
        <w:rPr>
          <w:rFonts w:hint="eastAsia"/>
        </w:rPr>
        <w:t>4</w:t>
      </w:r>
      <w:r>
        <w:t>年11月</w:t>
      </w:r>
      <w:r>
        <w:rPr>
          <w:rFonts w:hint="eastAsia"/>
        </w:rPr>
        <w:t>1</w:t>
      </w:r>
      <w:r>
        <w:t>3日</w:t>
      </w:r>
      <w:r>
        <w:rPr>
          <w:rFonts w:hint="eastAsia"/>
        </w:rPr>
        <w:t>-15日</w:t>
      </w:r>
      <w:r>
        <w:rPr>
          <w:rFonts w:hint="eastAsia"/>
          <w:lang w:eastAsia="zh-CN"/>
        </w:rPr>
        <w:t>油气井下作业中心原孤东特车大队区域光伏发电工程</w:t>
      </w:r>
      <w:r>
        <w:t>现场</w:t>
      </w:r>
      <w:r>
        <w:rPr>
          <w:rFonts w:hint="eastAsia"/>
        </w:rPr>
        <w:t>核验</w:t>
      </w:r>
      <w:r>
        <w:t>，形成</w:t>
      </w:r>
      <w:r>
        <w:rPr>
          <w:rFonts w:hint="eastAsia"/>
        </w:rPr>
        <w:t>了</w:t>
      </w:r>
      <w:r>
        <w:t>节能验收意见。</w:t>
      </w:r>
    </w:p>
    <w:p w14:paraId="763740A1">
      <w:pPr>
        <w:numPr>
          <w:ilvl w:val="0"/>
          <w:numId w:val="6"/>
        </w:numPr>
        <w:tabs>
          <w:tab w:val="left" w:pos="0"/>
        </w:tabs>
        <w:ind w:firstLine="640"/>
        <w:rPr>
          <w:rFonts w:hint="eastAsia"/>
        </w:rPr>
      </w:pPr>
      <w:r>
        <w:t>出具节能验收报告</w:t>
      </w:r>
      <w:r>
        <w:rPr>
          <w:rFonts w:hint="eastAsia"/>
        </w:rPr>
        <w:t>。</w:t>
      </w:r>
      <w:r>
        <w:t>根据项</w:t>
      </w:r>
      <w:r>
        <w:rPr>
          <w:rFonts w:hint="eastAsia"/>
        </w:rPr>
        <w:t>目</w:t>
      </w:r>
      <w:r>
        <w:t>节能验收情况及意见，确定节能验收结果并编</w:t>
      </w:r>
      <w:r>
        <w:rPr>
          <w:rFonts w:hint="eastAsia"/>
        </w:rPr>
        <w:t>制了《</w:t>
      </w:r>
      <w:r>
        <w:rPr>
          <w:rFonts w:hint="eastAsia"/>
          <w:lang w:eastAsia="zh-CN"/>
        </w:rPr>
        <w:t>油气井下作业中心原孤东特车大队区域光伏发电工程</w:t>
      </w:r>
      <w:r>
        <w:rPr>
          <w:rFonts w:hint="eastAsia"/>
        </w:rPr>
        <w:t>节能验收报告》</w:t>
      </w:r>
      <w:r>
        <w:t>。</w:t>
      </w:r>
    </w:p>
    <w:p w14:paraId="40B746D7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1" w:name="_Toc3296"/>
      <w:r>
        <w:rPr>
          <w:rFonts w:hint="eastAsia"/>
        </w:rPr>
        <w:t>项目建设单位概况</w:t>
      </w:r>
      <w:bookmarkEnd w:id="1"/>
    </w:p>
    <w:p w14:paraId="522584BD">
      <w:pPr>
        <w:ind w:firstLine="640"/>
        <w:rPr>
          <w:rFonts w:hint="eastAsia"/>
        </w:rPr>
      </w:pPr>
      <w:r>
        <w:rPr>
          <w:rFonts w:hint="eastAsia"/>
        </w:rPr>
        <w:t>单位名称：中国石化集团胜利石油管理局有限公司新能源开发中心</w:t>
      </w:r>
    </w:p>
    <w:p w14:paraId="04623050">
      <w:pPr>
        <w:ind w:firstLine="640"/>
        <w:rPr>
          <w:rFonts w:hint="eastAsia"/>
        </w:rPr>
      </w:pPr>
      <w:r>
        <w:rPr>
          <w:rFonts w:hint="eastAsia"/>
        </w:rPr>
        <w:t>法定代表人：张维进</w:t>
      </w:r>
    </w:p>
    <w:p w14:paraId="45E424E2">
      <w:pPr>
        <w:ind w:firstLine="640"/>
        <w:rPr>
          <w:rFonts w:hint="eastAsia" w:eastAsia="华文仿宋"/>
          <w:lang w:eastAsia="zh-CN"/>
        </w:rPr>
      </w:pPr>
      <w:r>
        <w:rPr>
          <w:rFonts w:hint="eastAsia"/>
        </w:rPr>
        <w:t>项目联系人：</w:t>
      </w:r>
      <w:r>
        <w:rPr>
          <w:rFonts w:hint="eastAsia"/>
          <w:lang w:val="en-US" w:eastAsia="zh-CN"/>
        </w:rPr>
        <w:t>李呈刚</w:t>
      </w:r>
    </w:p>
    <w:p w14:paraId="5C67D84D">
      <w:pPr>
        <w:ind w:firstLine="640"/>
        <w:rPr>
          <w:rFonts w:hint="default" w:eastAsia="华文仿宋"/>
          <w:lang w:val="en-US" w:eastAsia="zh-CN"/>
        </w:rPr>
      </w:pPr>
      <w:r>
        <w:rPr>
          <w:rFonts w:hint="eastAsia"/>
        </w:rPr>
        <w:t>联系方式：1</w:t>
      </w:r>
      <w:r>
        <w:rPr>
          <w:rFonts w:hint="eastAsia"/>
          <w:lang w:val="en-US" w:eastAsia="zh-CN"/>
        </w:rPr>
        <w:t>5553899327</w:t>
      </w:r>
    </w:p>
    <w:p w14:paraId="16E1F8E3">
      <w:pPr>
        <w:ind w:firstLine="640"/>
        <w:rPr>
          <w:rFonts w:hint="eastAsia" w:eastAsia="华文仿宋"/>
          <w:lang w:val="en-US" w:eastAsia="zh-CN"/>
        </w:rPr>
      </w:pPr>
      <w:r>
        <w:rPr>
          <w:rFonts w:hint="eastAsia"/>
        </w:rPr>
        <w:t>单位简介</w:t>
      </w:r>
      <w:r>
        <w:rPr>
          <w:rFonts w:hint="eastAsia"/>
          <w:lang w:val="en-US" w:eastAsia="zh-CN"/>
        </w:rPr>
        <w:t>:</w:t>
      </w:r>
      <w:r>
        <w:rPr>
          <w:rFonts w:hint="eastAsia"/>
          <w:lang w:eastAsia="zh-CN"/>
        </w:rPr>
        <w:t>新能源开发中心</w:t>
      </w:r>
      <w:r>
        <w:rPr>
          <w:rFonts w:hint="eastAsia"/>
          <w:lang w:val="en-US" w:eastAsia="zh-CN"/>
        </w:rPr>
        <w:t>成立于</w:t>
      </w:r>
      <w:r>
        <w:rPr>
          <w:rFonts w:hint="eastAsia"/>
          <w:lang w:eastAsia="zh-CN"/>
        </w:rPr>
        <w:t>2017年5月，</w:t>
      </w:r>
      <w:r>
        <w:rPr>
          <w:rFonts w:hint="eastAsia"/>
          <w:lang w:val="en-US" w:eastAsia="zh-CN"/>
        </w:rPr>
        <w:t>是</w:t>
      </w:r>
      <w:r>
        <w:rPr>
          <w:rFonts w:hint="eastAsia"/>
          <w:lang w:eastAsia="zh-CN"/>
        </w:rPr>
        <w:t>油田新能源开发利用专业化单位。经营范围包括：地热、余热（压）、太阳能、风能、氢能、储能等清洁能源业务；节能减排业务；技术研发、设计咨询、工程施工、运营管理与技术服务；能源互联网；碳资产运营管理等。截至</w:t>
      </w:r>
      <w:r>
        <w:rPr>
          <w:rFonts w:hint="eastAsia"/>
          <w:lang w:val="en-US" w:eastAsia="zh-CN"/>
        </w:rPr>
        <w:t>2024年</w:t>
      </w:r>
      <w:r>
        <w:rPr>
          <w:rFonts w:hint="eastAsia"/>
          <w:lang w:eastAsia="zh-CN"/>
        </w:rPr>
        <w:t>，油田累计投产各类新能源项目174个，年代油9260吨，年代气4400万方，地热余热年供热能力245万吉焦，年发用绿电5亿千瓦时，年节标煤14万吨，碳减排60万吨。胜利油田成为集团公司上游板块新能源规模最大企业。</w:t>
      </w:r>
    </w:p>
    <w:p w14:paraId="7615DA0E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2" w:name="_Toc21016"/>
      <w:r>
        <w:rPr>
          <w:rFonts w:hint="eastAsia"/>
        </w:rPr>
        <w:t>项目建设进展</w:t>
      </w:r>
      <w:bookmarkEnd w:id="2"/>
    </w:p>
    <w:p w14:paraId="3F5B30C4">
      <w:pPr>
        <w:ind w:firstLine="640"/>
        <w:rPr>
          <w:rFonts w:hint="eastAsia"/>
        </w:rPr>
      </w:pPr>
      <w:r>
        <w:rPr>
          <w:rFonts w:hint="eastAsia"/>
        </w:rPr>
        <w:t>（一）项目概况</w:t>
      </w:r>
    </w:p>
    <w:p w14:paraId="286A956A">
      <w:pPr>
        <w:ind w:firstLine="640"/>
        <w:rPr>
          <w:rFonts w:hint="eastAsia" w:eastAsia="华文仿宋"/>
          <w:lang w:eastAsia="zh-CN"/>
        </w:rPr>
      </w:pPr>
      <w:r>
        <w:rPr>
          <w:rFonts w:hint="eastAsia"/>
        </w:rPr>
        <w:t>项目名称：</w:t>
      </w:r>
      <w:r>
        <w:rPr>
          <w:rFonts w:hint="eastAsia"/>
          <w:lang w:eastAsia="zh-CN"/>
        </w:rPr>
        <w:t>油气井下作业中心原孤东特车大队区域光伏发电工程</w:t>
      </w:r>
    </w:p>
    <w:p w14:paraId="1BF2BE8E">
      <w:pPr>
        <w:ind w:firstLine="640"/>
        <w:rPr>
          <w:rFonts w:hint="default" w:eastAsia="华文仿宋"/>
          <w:lang w:val="en-US" w:eastAsia="zh-CN"/>
        </w:rPr>
      </w:pPr>
      <w:r>
        <w:rPr>
          <w:rFonts w:hint="eastAsia"/>
        </w:rPr>
        <w:t>建设地点：东营市</w:t>
      </w:r>
      <w:r>
        <w:rPr>
          <w:rFonts w:hint="eastAsia"/>
          <w:lang w:val="en-US" w:eastAsia="zh-CN"/>
        </w:rPr>
        <w:t>垦利区垦东办事处</w:t>
      </w:r>
    </w:p>
    <w:p w14:paraId="4A850628">
      <w:pPr>
        <w:ind w:firstLine="640"/>
        <w:rPr>
          <w:rFonts w:hint="eastAsia"/>
        </w:rPr>
      </w:pPr>
      <w:r>
        <w:rPr>
          <w:rFonts w:hint="eastAsia"/>
        </w:rPr>
        <w:t>项目性质：新建</w:t>
      </w:r>
    </w:p>
    <w:p w14:paraId="420866CD">
      <w:pPr>
        <w:ind w:firstLine="640"/>
        <w:rPr>
          <w:rFonts w:hint="eastAsia"/>
        </w:rPr>
      </w:pPr>
      <w:r>
        <w:rPr>
          <w:rFonts w:hint="eastAsia"/>
        </w:rPr>
        <w:t>建设规模及内容：该工程利用油气井下作业中心原孤东特车大队闲置场地3.2万平方米进行光伏电站建设，总装机容量 2447.5 千瓦。安装 550 瓦单晶硅光伏组件 4450 块、196 千瓦组串式逆变器 11 台，配套土建工程及电气、消防系统等。光伏发电通过新建 2 台变压器升压后就近</w:t>
      </w:r>
      <w:r>
        <w:rPr>
          <w:rFonts w:hint="eastAsia"/>
          <w:lang w:val="en-US" w:eastAsia="zh-CN"/>
        </w:rPr>
        <w:t>分别</w:t>
      </w:r>
      <w:r>
        <w:rPr>
          <w:rFonts w:hint="eastAsia"/>
        </w:rPr>
        <w:t>接入 6 千伏</w:t>
      </w:r>
      <w:r>
        <w:rPr>
          <w:rFonts w:hint="eastAsia"/>
          <w:lang w:val="en-US" w:eastAsia="zh-CN"/>
        </w:rPr>
        <w:t>和35千伏</w:t>
      </w:r>
      <w:r>
        <w:rPr>
          <w:rFonts w:hint="eastAsia"/>
        </w:rPr>
        <w:t>线路。</w:t>
      </w:r>
    </w:p>
    <w:p w14:paraId="6FAF5300">
      <w:pPr>
        <w:ind w:firstLine="640"/>
        <w:rPr>
          <w:rFonts w:hint="eastAsia"/>
        </w:rPr>
      </w:pPr>
      <w:r>
        <w:rPr>
          <w:rFonts w:hint="eastAsia"/>
        </w:rPr>
        <w:t>（二）建设历程</w:t>
      </w:r>
    </w:p>
    <w:p w14:paraId="42DCBD12">
      <w:pPr>
        <w:ind w:firstLine="640"/>
        <w:rPr>
          <w:rFonts w:hint="eastAsia"/>
        </w:rPr>
      </w:pPr>
      <w:r>
        <w:rPr>
          <w:rFonts w:hint="eastAsia"/>
        </w:rPr>
        <w:t>2023年4月13日</w:t>
      </w:r>
      <w:r>
        <w:t>油气井下作业中心原孤东特车大队区域 光伏发电工程</w:t>
      </w:r>
      <w:r>
        <w:rPr>
          <w:rFonts w:hint="eastAsia"/>
        </w:rPr>
        <w:t>可研批复。</w:t>
      </w:r>
    </w:p>
    <w:p w14:paraId="0D25B6C9">
      <w:pPr>
        <w:ind w:firstLine="640"/>
        <w:rPr>
          <w:rFonts w:hint="eastAsia"/>
        </w:rPr>
      </w:pPr>
      <w:bookmarkStart w:id="10" w:name="_GoBack"/>
      <w:bookmarkEnd w:id="10"/>
      <w:r>
        <w:rPr>
          <w:rFonts w:hint="eastAsia"/>
        </w:rPr>
        <w:t>2023年9月25日工程正式开工建设。</w:t>
      </w:r>
    </w:p>
    <w:p w14:paraId="0B1AA7E9">
      <w:pPr>
        <w:ind w:firstLine="640"/>
        <w:rPr>
          <w:rFonts w:hint="eastAsia"/>
        </w:rPr>
      </w:pPr>
      <w:r>
        <w:rPr>
          <w:rFonts w:hint="eastAsia"/>
        </w:rPr>
        <w:t>2024年11月20日</w:t>
      </w:r>
      <w:r>
        <w:t>油气井下作业中心原孤东特车大队区域 光伏发电工程</w:t>
      </w:r>
      <w:r>
        <w:rPr>
          <w:rFonts w:hint="eastAsia"/>
        </w:rPr>
        <w:t>项目试运行。</w:t>
      </w:r>
    </w:p>
    <w:p w14:paraId="642B410D">
      <w:pPr>
        <w:ind w:firstLine="838" w:firstLineChars="262"/>
        <w:rPr>
          <w:rFonts w:hint="eastAsia"/>
        </w:rPr>
      </w:pPr>
      <w:r>
        <w:rPr>
          <w:rFonts w:hint="eastAsia"/>
        </w:rPr>
        <w:t>2024年12月下旬</w:t>
      </w:r>
      <w:r>
        <w:rPr>
          <w:rFonts w:hint="eastAsia"/>
          <w:lang w:val="en-US" w:eastAsia="zh-CN"/>
        </w:rPr>
        <w:t>由地面监督中心孤东监督部对</w:t>
      </w:r>
      <w:r>
        <w:t>油气井下作业中心原孤东特车大队区域光伏发电工程</w:t>
      </w:r>
      <w:r>
        <w:rPr>
          <w:rFonts w:hint="eastAsia"/>
        </w:rPr>
        <w:t>出具交工验收证书。</w:t>
      </w:r>
    </w:p>
    <w:p w14:paraId="1ADCF3F6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3" w:name="_Toc17752"/>
      <w:r>
        <w:rPr>
          <w:rFonts w:hint="eastAsia"/>
        </w:rPr>
        <w:t>项目建设方案</w:t>
      </w:r>
      <w:bookmarkEnd w:id="3"/>
    </w:p>
    <w:p w14:paraId="2987F6A4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（一）项目实际建设情况</w:t>
      </w:r>
    </w:p>
    <w:p w14:paraId="600DB5FC">
      <w:pPr>
        <w:numPr>
          <w:ilvl w:val="0"/>
          <w:numId w:val="7"/>
        </w:numPr>
        <w:ind w:firstLine="641"/>
        <w:rPr>
          <w:rFonts w:hint="eastAsia"/>
        </w:rPr>
      </w:pPr>
      <w:r>
        <w:rPr>
          <w:rFonts w:hint="eastAsia"/>
          <w:b/>
          <w:bCs/>
        </w:rPr>
        <w:t>能源实际接入条件</w:t>
      </w:r>
    </w:p>
    <w:p w14:paraId="090B7E89">
      <w:pPr>
        <w:numPr>
          <w:ilvl w:val="0"/>
          <w:numId w:val="7"/>
        </w:numPr>
        <w:ind w:firstLine="641"/>
        <w:rPr>
          <w:rFonts w:hint="eastAsia" w:ascii="宋体" w:hAnsi="宋体" w:eastAsia="宋体" w:cs="宋体"/>
          <w:b/>
          <w:bCs/>
          <w:szCs w:val="32"/>
        </w:rPr>
      </w:pPr>
      <w:r>
        <w:rPr>
          <w:rFonts w:hint="eastAsia"/>
          <w:b/>
          <w:bCs/>
          <w:szCs w:val="32"/>
        </w:rPr>
        <w:t>项目建设方案对比</w:t>
      </w:r>
    </w:p>
    <w:p w14:paraId="1901F629">
      <w:pPr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表1  项目建设方案对比表</w:t>
      </w:r>
    </w:p>
    <w:tbl>
      <w:tblPr>
        <w:tblStyle w:val="11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856"/>
        <w:gridCol w:w="2856"/>
        <w:gridCol w:w="1471"/>
      </w:tblGrid>
      <w:tr w14:paraId="681B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66" w:type="dxa"/>
            <w:vAlign w:val="center"/>
          </w:tcPr>
          <w:p w14:paraId="7B4D32B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工艺方案/用能系统名称</w:t>
            </w:r>
          </w:p>
        </w:tc>
        <w:tc>
          <w:tcPr>
            <w:tcW w:w="2841" w:type="dxa"/>
            <w:vAlign w:val="center"/>
          </w:tcPr>
          <w:p w14:paraId="5B9ED28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可研方案要求</w:t>
            </w:r>
          </w:p>
        </w:tc>
        <w:tc>
          <w:tcPr>
            <w:tcW w:w="2841" w:type="dxa"/>
            <w:vAlign w:val="center"/>
          </w:tcPr>
          <w:p w14:paraId="76FF1BE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实际实施情况</w:t>
            </w:r>
          </w:p>
        </w:tc>
        <w:tc>
          <w:tcPr>
            <w:tcW w:w="1486" w:type="dxa"/>
            <w:vAlign w:val="center"/>
          </w:tcPr>
          <w:p w14:paraId="33DE096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落实情况自评</w:t>
            </w:r>
          </w:p>
        </w:tc>
      </w:tr>
      <w:tr w14:paraId="5BB3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6" w:type="dxa"/>
            <w:vAlign w:val="center"/>
          </w:tcPr>
          <w:p w14:paraId="731090B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光伏组件</w:t>
            </w:r>
          </w:p>
        </w:tc>
        <w:tc>
          <w:tcPr>
            <w:tcW w:w="2841" w:type="dxa"/>
            <w:vAlign w:val="center"/>
          </w:tcPr>
          <w:p w14:paraId="5D8D975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  <w:t>550Wp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4450</w:t>
            </w:r>
            <w:r>
              <w:rPr>
                <w:rFonts w:ascii="宋体" w:hAnsi="宋体" w:eastAsia="宋体" w:cs="宋体"/>
                <w:sz w:val="24"/>
                <w:szCs w:val="24"/>
              </w:rPr>
              <w:t>块</w:t>
            </w:r>
          </w:p>
        </w:tc>
        <w:tc>
          <w:tcPr>
            <w:tcW w:w="2841" w:type="dxa"/>
            <w:vAlign w:val="center"/>
          </w:tcPr>
          <w:p w14:paraId="1BF31DF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  <w:t>550Wp</w:t>
            </w:r>
            <w:r>
              <w:rPr>
                <w:rFonts w:hint="eastAsia" w:ascii="宋体" w:hAnsi="宋体" w:eastAsia="宋体" w:cs="宋体"/>
                <w:kern w:val="0"/>
                <w:sz w:val="21"/>
                <w:lang w:val="en-US" w:eastAsia="zh-CN" w:bidi="ar"/>
              </w:rPr>
              <w:t>4264</w:t>
            </w:r>
            <w:r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  <w:t>块</w:t>
            </w:r>
          </w:p>
        </w:tc>
        <w:tc>
          <w:tcPr>
            <w:tcW w:w="1486" w:type="dxa"/>
            <w:vAlign w:val="center"/>
          </w:tcPr>
          <w:p w14:paraId="58D0C21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基本一致</w:t>
            </w:r>
          </w:p>
        </w:tc>
      </w:tr>
      <w:tr w14:paraId="4A8B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6" w:type="dxa"/>
            <w:vAlign w:val="center"/>
          </w:tcPr>
          <w:p w14:paraId="0627F18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组串直流缆</w:t>
            </w:r>
          </w:p>
        </w:tc>
        <w:tc>
          <w:tcPr>
            <w:tcW w:w="2841" w:type="dxa"/>
            <w:vAlign w:val="center"/>
          </w:tcPr>
          <w:p w14:paraId="45689F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H1Z2Z2-K 1×4mm2</w:t>
            </w:r>
          </w:p>
        </w:tc>
        <w:tc>
          <w:tcPr>
            <w:tcW w:w="2841" w:type="dxa"/>
            <w:vAlign w:val="center"/>
          </w:tcPr>
          <w:p w14:paraId="59B72AF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H1Z2Z2-K 1×4mm2</w:t>
            </w:r>
          </w:p>
        </w:tc>
        <w:tc>
          <w:tcPr>
            <w:tcW w:w="1486" w:type="dxa"/>
            <w:vAlign w:val="center"/>
          </w:tcPr>
          <w:p w14:paraId="62F7768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  <w:tr w14:paraId="07B1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6" w:type="dxa"/>
            <w:vAlign w:val="center"/>
          </w:tcPr>
          <w:p w14:paraId="555CF72B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交流缆</w:t>
            </w:r>
          </w:p>
        </w:tc>
        <w:tc>
          <w:tcPr>
            <w:tcW w:w="2841" w:type="dxa"/>
            <w:vAlign w:val="center"/>
          </w:tcPr>
          <w:p w14:paraId="6A83200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交联聚乙烯绝缘铠装电缆</w:t>
            </w:r>
          </w:p>
        </w:tc>
        <w:tc>
          <w:tcPr>
            <w:tcW w:w="2841" w:type="dxa"/>
            <w:vAlign w:val="center"/>
          </w:tcPr>
          <w:p w14:paraId="436FE270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交联聚乙烯绝缘铠装电缆</w:t>
            </w:r>
          </w:p>
        </w:tc>
        <w:tc>
          <w:tcPr>
            <w:tcW w:w="1486" w:type="dxa"/>
            <w:vAlign w:val="center"/>
          </w:tcPr>
          <w:p w14:paraId="364ECA3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  <w:tr w14:paraId="043A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6" w:type="dxa"/>
            <w:vAlign w:val="center"/>
          </w:tcPr>
          <w:p w14:paraId="01D4BE3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逆变器</w:t>
            </w:r>
          </w:p>
        </w:tc>
        <w:tc>
          <w:tcPr>
            <w:tcW w:w="2841" w:type="dxa"/>
            <w:vAlign w:val="center"/>
          </w:tcPr>
          <w:p w14:paraId="599122C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11台</w:t>
            </w:r>
            <w:r>
              <w:rPr>
                <w:rFonts w:ascii="宋体" w:hAnsi="宋体" w:eastAsia="宋体" w:cs="宋体"/>
                <w:sz w:val="24"/>
                <w:szCs w:val="24"/>
              </w:rPr>
              <w:t>196kW</w:t>
            </w:r>
          </w:p>
        </w:tc>
        <w:tc>
          <w:tcPr>
            <w:tcW w:w="2841" w:type="dxa"/>
            <w:vAlign w:val="center"/>
          </w:tcPr>
          <w:p w14:paraId="2FF14435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11台</w:t>
            </w:r>
            <w:r>
              <w:rPr>
                <w:rFonts w:ascii="宋体" w:hAnsi="宋体" w:eastAsia="宋体" w:cs="宋体"/>
                <w:sz w:val="24"/>
                <w:szCs w:val="24"/>
              </w:rPr>
              <w:t>196kW</w:t>
            </w:r>
          </w:p>
        </w:tc>
        <w:tc>
          <w:tcPr>
            <w:tcW w:w="1486" w:type="dxa"/>
            <w:vAlign w:val="center"/>
          </w:tcPr>
          <w:p w14:paraId="55D26A09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  <w:tr w14:paraId="2256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6" w:type="dxa"/>
            <w:vAlign w:val="center"/>
          </w:tcPr>
          <w:p w14:paraId="5F8CD37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变压器</w:t>
            </w:r>
          </w:p>
        </w:tc>
        <w:tc>
          <w:tcPr>
            <w:tcW w:w="2841" w:type="dxa"/>
            <w:vAlign w:val="center"/>
          </w:tcPr>
          <w:p w14:paraId="38986E1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1台37</w:t>
            </w:r>
            <w:r>
              <w:rPr>
                <w:rFonts w:ascii="宋体" w:hAnsi="宋体" w:eastAsia="宋体" w:cs="宋体"/>
                <w:sz w:val="24"/>
                <w:szCs w:val="24"/>
              </w:rPr>
              <w:t>kV±2×2.5%/0.8kV，接线组别为Dy11，能效等级为二级。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1台6.3</w:t>
            </w:r>
            <w:r>
              <w:rPr>
                <w:rFonts w:ascii="宋体" w:hAnsi="宋体" w:eastAsia="宋体" w:cs="宋体"/>
                <w:sz w:val="24"/>
                <w:szCs w:val="24"/>
              </w:rPr>
              <w:t>kV±2×2.5%/0.8kV，接线组别为Dy11，能效等级为二级。</w:t>
            </w:r>
          </w:p>
        </w:tc>
        <w:tc>
          <w:tcPr>
            <w:tcW w:w="2841" w:type="dxa"/>
            <w:vAlign w:val="center"/>
          </w:tcPr>
          <w:p w14:paraId="4AC4529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1台37</w:t>
            </w:r>
            <w:r>
              <w:rPr>
                <w:rFonts w:ascii="宋体" w:hAnsi="宋体" w:eastAsia="宋体" w:cs="宋体"/>
                <w:sz w:val="24"/>
                <w:szCs w:val="24"/>
              </w:rPr>
              <w:t>kV±2×2.5%/0.8kV，接线组别为Dy11，能效等级为二级。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1台6.3</w:t>
            </w:r>
            <w:r>
              <w:rPr>
                <w:rFonts w:ascii="宋体" w:hAnsi="宋体" w:eastAsia="宋体" w:cs="宋体"/>
                <w:sz w:val="24"/>
                <w:szCs w:val="24"/>
              </w:rPr>
              <w:t>kV±2×2.5%/0.8kV，接线组别为Dy11，能效等级为二级。</w:t>
            </w:r>
          </w:p>
        </w:tc>
        <w:tc>
          <w:tcPr>
            <w:tcW w:w="1486" w:type="dxa"/>
            <w:vAlign w:val="center"/>
          </w:tcPr>
          <w:p w14:paraId="68A1CD8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</w:tbl>
    <w:p w14:paraId="65E43217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验收结论：项目建成规模与可行性研究报告基本一致，项目节能承诺基本落实。</w:t>
      </w:r>
    </w:p>
    <w:p w14:paraId="7E627B96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4" w:name="_Toc29195"/>
      <w:r>
        <w:rPr>
          <w:rFonts w:hint="eastAsia"/>
        </w:rPr>
        <w:t>主要用能设备及其用能水平</w:t>
      </w:r>
      <w:bookmarkEnd w:id="4"/>
    </w:p>
    <w:p w14:paraId="232C2487">
      <w:pPr>
        <w:ind w:firstLine="640"/>
        <w:rPr>
          <w:rFonts w:hint="eastAsia"/>
        </w:rPr>
      </w:pPr>
      <w:r>
        <w:rPr>
          <w:rFonts w:hint="eastAsia"/>
        </w:rPr>
        <w:t>该项目主要用能设备包括主要生产设备和主要公辅设备，其中主要工艺用能设备主要有</w:t>
      </w:r>
      <w:r>
        <w:rPr>
          <w:rFonts w:hint="eastAsia"/>
          <w:lang w:val="en-US" w:eastAsia="zh-CN"/>
        </w:rPr>
        <w:t>组串式逆变器</w:t>
      </w:r>
      <w:r>
        <w:rPr>
          <w:rFonts w:hint="eastAsia"/>
        </w:rPr>
        <w:t>、升压变压器等设备。</w:t>
      </w:r>
    </w:p>
    <w:p w14:paraId="69A121E0">
      <w:pPr>
        <w:ind w:firstLine="640"/>
        <w:rPr>
          <w:rFonts w:hint="eastAsi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  <w:r>
        <w:rPr>
          <w:rFonts w:hint="eastAsia"/>
        </w:rPr>
        <w:t>经现场核验，与设备招标要求相比，项目主要工艺设备表如下：</w:t>
      </w:r>
    </w:p>
    <w:p w14:paraId="6B22E8EA">
      <w:pPr>
        <w:spacing w:line="240" w:lineRule="auto"/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表2  主要用能设备能效水平对比表</w:t>
      </w:r>
    </w:p>
    <w:tbl>
      <w:tblPr>
        <w:tblStyle w:val="11"/>
        <w:tblpPr w:leftFromText="181" w:rightFromText="181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04"/>
        <w:gridCol w:w="1088"/>
        <w:gridCol w:w="1837"/>
        <w:gridCol w:w="3100"/>
        <w:gridCol w:w="2125"/>
        <w:gridCol w:w="2142"/>
        <w:gridCol w:w="1551"/>
      </w:tblGrid>
      <w:tr w14:paraId="0AA1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Merge w:val="restart"/>
            <w:vAlign w:val="center"/>
          </w:tcPr>
          <w:p w14:paraId="354E52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用能系统</w:t>
            </w:r>
          </w:p>
        </w:tc>
        <w:tc>
          <w:tcPr>
            <w:tcW w:w="1204" w:type="dxa"/>
            <w:vMerge w:val="restart"/>
            <w:vAlign w:val="center"/>
          </w:tcPr>
          <w:p w14:paraId="18AD4AC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1088" w:type="dxa"/>
            <w:vMerge w:val="restart"/>
            <w:vAlign w:val="center"/>
          </w:tcPr>
          <w:p w14:paraId="4B1AA0A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安装地点</w:t>
            </w:r>
          </w:p>
        </w:tc>
        <w:tc>
          <w:tcPr>
            <w:tcW w:w="4937" w:type="dxa"/>
            <w:gridSpan w:val="2"/>
            <w:vAlign w:val="center"/>
          </w:tcPr>
          <w:p w14:paraId="5791801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设计要求</w:t>
            </w:r>
          </w:p>
        </w:tc>
        <w:tc>
          <w:tcPr>
            <w:tcW w:w="4267" w:type="dxa"/>
            <w:gridSpan w:val="2"/>
            <w:vAlign w:val="center"/>
          </w:tcPr>
          <w:p w14:paraId="03EB6A9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实施情况</w:t>
            </w:r>
          </w:p>
        </w:tc>
        <w:tc>
          <w:tcPr>
            <w:tcW w:w="1551" w:type="dxa"/>
            <w:vMerge w:val="restart"/>
            <w:vAlign w:val="center"/>
          </w:tcPr>
          <w:p w14:paraId="7963F45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落实情况自评</w:t>
            </w:r>
          </w:p>
        </w:tc>
      </w:tr>
      <w:tr w14:paraId="3901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Merge w:val="continue"/>
            <w:vAlign w:val="center"/>
          </w:tcPr>
          <w:p w14:paraId="7D19108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</w:tcPr>
          <w:p w14:paraId="459BAF7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</w:tcPr>
          <w:p w14:paraId="00A7002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21BCF0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3100" w:type="dxa"/>
            <w:vAlign w:val="center"/>
          </w:tcPr>
          <w:p w14:paraId="6850B73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能效值/能效等级</w:t>
            </w:r>
          </w:p>
        </w:tc>
        <w:tc>
          <w:tcPr>
            <w:tcW w:w="2125" w:type="dxa"/>
            <w:vAlign w:val="center"/>
          </w:tcPr>
          <w:p w14:paraId="7B91EF0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2142" w:type="dxa"/>
            <w:vAlign w:val="center"/>
          </w:tcPr>
          <w:p w14:paraId="288B64C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能效值/能效等级</w:t>
            </w:r>
          </w:p>
        </w:tc>
        <w:tc>
          <w:tcPr>
            <w:tcW w:w="1551" w:type="dxa"/>
            <w:vMerge w:val="continue"/>
            <w:vAlign w:val="center"/>
          </w:tcPr>
          <w:p w14:paraId="06A66870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9B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Align w:val="center"/>
          </w:tcPr>
          <w:p w14:paraId="4230262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供电系统</w:t>
            </w:r>
          </w:p>
        </w:tc>
        <w:tc>
          <w:tcPr>
            <w:tcW w:w="1204" w:type="dxa"/>
          </w:tcPr>
          <w:p w14:paraId="4C34F1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1#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升压变</w:t>
            </w:r>
          </w:p>
        </w:tc>
        <w:tc>
          <w:tcPr>
            <w:tcW w:w="1088" w:type="dxa"/>
          </w:tcPr>
          <w:p w14:paraId="2619DAD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特车大队</w:t>
            </w:r>
          </w:p>
        </w:tc>
        <w:tc>
          <w:tcPr>
            <w:tcW w:w="1837" w:type="dxa"/>
          </w:tcPr>
          <w:p w14:paraId="48EDF32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  <w:r>
              <w:rPr>
                <w:rFonts w:ascii="宋体" w:hAnsi="宋体" w:eastAsia="宋体" w:cs="宋体"/>
                <w:sz w:val="24"/>
                <w:szCs w:val="24"/>
              </w:rPr>
              <w:t>kV±2×2.5%/0.8kV，接线组别为Dy11</w:t>
            </w:r>
          </w:p>
        </w:tc>
        <w:tc>
          <w:tcPr>
            <w:tcW w:w="3100" w:type="dxa"/>
          </w:tcPr>
          <w:p w14:paraId="6B94FE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2125" w:type="dxa"/>
            <w:shd w:val="clear" w:color="auto" w:fill="auto"/>
            <w:vAlign w:val="top"/>
          </w:tcPr>
          <w:p w14:paraId="4DE9A44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  <w:r>
              <w:rPr>
                <w:rFonts w:ascii="宋体" w:hAnsi="宋体" w:eastAsia="宋体" w:cs="宋体"/>
                <w:sz w:val="24"/>
                <w:szCs w:val="24"/>
              </w:rPr>
              <w:t>kV±2×2.5%/0.8kV，接线组别为Dy11</w:t>
            </w:r>
          </w:p>
        </w:tc>
        <w:tc>
          <w:tcPr>
            <w:tcW w:w="2142" w:type="dxa"/>
            <w:shd w:val="clear" w:color="auto" w:fill="auto"/>
            <w:vAlign w:val="top"/>
          </w:tcPr>
          <w:p w14:paraId="174F197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1551" w:type="dxa"/>
            <w:vAlign w:val="center"/>
          </w:tcPr>
          <w:p w14:paraId="5090F1D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一致</w:t>
            </w:r>
          </w:p>
        </w:tc>
      </w:tr>
      <w:tr w14:paraId="7886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shd w:val="clear" w:color="auto" w:fill="auto"/>
            <w:vAlign w:val="center"/>
          </w:tcPr>
          <w:p w14:paraId="7F24536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供电系统</w:t>
            </w:r>
          </w:p>
        </w:tc>
        <w:tc>
          <w:tcPr>
            <w:tcW w:w="1204" w:type="dxa"/>
            <w:shd w:val="clear" w:color="auto" w:fill="auto"/>
            <w:vAlign w:val="top"/>
          </w:tcPr>
          <w:p w14:paraId="3CEA185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升压变</w:t>
            </w:r>
          </w:p>
        </w:tc>
        <w:tc>
          <w:tcPr>
            <w:tcW w:w="1088" w:type="dxa"/>
            <w:shd w:val="clear" w:color="auto" w:fill="auto"/>
            <w:vAlign w:val="top"/>
          </w:tcPr>
          <w:p w14:paraId="7D7413A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护卫大队</w:t>
            </w:r>
          </w:p>
        </w:tc>
        <w:tc>
          <w:tcPr>
            <w:tcW w:w="1837" w:type="dxa"/>
            <w:shd w:val="clear" w:color="auto" w:fill="auto"/>
            <w:vAlign w:val="top"/>
          </w:tcPr>
          <w:p w14:paraId="4E119B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  <w:r>
              <w:rPr>
                <w:rFonts w:ascii="宋体" w:hAnsi="宋体" w:eastAsia="宋体" w:cs="宋体"/>
                <w:sz w:val="24"/>
                <w:szCs w:val="24"/>
              </w:rPr>
              <w:t>kV±2×2.5%/0.8kV，接线组别为Dy11</w:t>
            </w:r>
          </w:p>
        </w:tc>
        <w:tc>
          <w:tcPr>
            <w:tcW w:w="3100" w:type="dxa"/>
            <w:shd w:val="clear" w:color="auto" w:fill="auto"/>
            <w:vAlign w:val="top"/>
          </w:tcPr>
          <w:p w14:paraId="37285F9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2125" w:type="dxa"/>
            <w:shd w:val="clear" w:color="auto" w:fill="auto"/>
            <w:vAlign w:val="top"/>
          </w:tcPr>
          <w:p w14:paraId="427799F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  <w:r>
              <w:rPr>
                <w:rFonts w:ascii="宋体" w:hAnsi="宋体" w:eastAsia="宋体" w:cs="宋体"/>
                <w:sz w:val="24"/>
                <w:szCs w:val="24"/>
              </w:rPr>
              <w:t>kV±2×2.5%/0.8kV，接线组别为Dy11</w:t>
            </w:r>
          </w:p>
        </w:tc>
        <w:tc>
          <w:tcPr>
            <w:tcW w:w="2142" w:type="dxa"/>
            <w:shd w:val="clear" w:color="auto" w:fill="auto"/>
            <w:vAlign w:val="top"/>
          </w:tcPr>
          <w:p w14:paraId="715CF92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0C0B4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一致</w:t>
            </w:r>
          </w:p>
        </w:tc>
      </w:tr>
      <w:tr w14:paraId="6793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Align w:val="center"/>
          </w:tcPr>
          <w:p w14:paraId="7C0934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工艺设备</w:t>
            </w:r>
          </w:p>
        </w:tc>
        <w:tc>
          <w:tcPr>
            <w:tcW w:w="1204" w:type="dxa"/>
          </w:tcPr>
          <w:p w14:paraId="083B8E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逆变器</w:t>
            </w:r>
          </w:p>
        </w:tc>
        <w:tc>
          <w:tcPr>
            <w:tcW w:w="1088" w:type="dxa"/>
          </w:tcPr>
          <w:p w14:paraId="6FCBA3A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特车大队、护卫大队</w:t>
            </w:r>
          </w:p>
        </w:tc>
        <w:tc>
          <w:tcPr>
            <w:tcW w:w="1837" w:type="dxa"/>
          </w:tcPr>
          <w:p w14:paraId="7251348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华为196W</w:t>
            </w:r>
          </w:p>
        </w:tc>
        <w:tc>
          <w:tcPr>
            <w:tcW w:w="3100" w:type="dxa"/>
          </w:tcPr>
          <w:p w14:paraId="3059CFC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</w:rPr>
              <w:t>98.5%</w:t>
            </w:r>
          </w:p>
        </w:tc>
        <w:tc>
          <w:tcPr>
            <w:tcW w:w="2125" w:type="dxa"/>
          </w:tcPr>
          <w:p w14:paraId="0084D4F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华为196W</w:t>
            </w:r>
          </w:p>
        </w:tc>
        <w:tc>
          <w:tcPr>
            <w:tcW w:w="2142" w:type="dxa"/>
          </w:tcPr>
          <w:p w14:paraId="02E9FE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</w:rPr>
              <w:t>98.5%</w:t>
            </w:r>
          </w:p>
        </w:tc>
        <w:tc>
          <w:tcPr>
            <w:tcW w:w="1551" w:type="dxa"/>
            <w:vAlign w:val="center"/>
          </w:tcPr>
          <w:p w14:paraId="65D997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一致</w:t>
            </w:r>
          </w:p>
        </w:tc>
      </w:tr>
    </w:tbl>
    <w:p w14:paraId="241BE275">
      <w:pPr>
        <w:ind w:firstLine="641"/>
        <w:rPr>
          <w:rFonts w:hint="eastAsia"/>
        </w:rPr>
      </w:pPr>
      <w:r>
        <w:rPr>
          <w:rFonts w:hint="eastAsia"/>
          <w:b/>
          <w:bCs/>
        </w:rPr>
        <w:t>验收结论：项目主要工艺设备、供电系统及用能设备与设计要求及承诺基本一致，未发生较大变更，基本落实。</w:t>
      </w:r>
      <w:r>
        <w:br w:type="page"/>
      </w:r>
    </w:p>
    <w:p w14:paraId="39B2C937">
      <w:pPr>
        <w:ind w:firstLine="0" w:firstLineChars="0"/>
        <w:jc w:val="center"/>
        <w:rPr>
          <w:rFonts w:hint="eastAsia"/>
        </w:rPr>
        <w:sectPr>
          <w:pgSz w:w="16838" w:h="11906" w:orient="landscape"/>
          <w:pgMar w:top="1417" w:right="1417" w:bottom="1417" w:left="1417" w:header="851" w:footer="992" w:gutter="0"/>
          <w:cols w:space="0" w:num="1"/>
          <w:docGrid w:type="lines" w:linePitch="453" w:charSpace="0"/>
        </w:sectPr>
      </w:pPr>
    </w:p>
    <w:p w14:paraId="02B0AD33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5" w:name="_Toc11022"/>
      <w:r>
        <w:rPr>
          <w:rFonts w:hint="eastAsia"/>
        </w:rPr>
        <w:t>节能措施</w:t>
      </w:r>
      <w:bookmarkEnd w:id="5"/>
    </w:p>
    <w:p w14:paraId="4EF138A5">
      <w:pPr>
        <w:ind w:firstLine="640"/>
        <w:rPr>
          <w:rFonts w:hint="eastAsia"/>
        </w:rPr>
      </w:pPr>
      <w:r>
        <w:rPr>
          <w:rFonts w:hint="eastAsia"/>
        </w:rPr>
        <w:t>以可行性研究报告为依据，对照项目设计、施工和竣工技术资料，各项节能措施落实情况如下：</w:t>
      </w:r>
    </w:p>
    <w:p w14:paraId="1716F7D9">
      <w:pPr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表3 节能措施落实情况对比表</w:t>
      </w:r>
    </w:p>
    <w:tbl>
      <w:tblPr>
        <w:tblStyle w:val="11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20"/>
        <w:gridCol w:w="2805"/>
        <w:gridCol w:w="2835"/>
        <w:gridCol w:w="1515"/>
      </w:tblGrid>
      <w:tr w14:paraId="2639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56" w:type="dxa"/>
            <w:vAlign w:val="center"/>
          </w:tcPr>
          <w:p w14:paraId="672F0B8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内容</w:t>
            </w:r>
          </w:p>
        </w:tc>
        <w:tc>
          <w:tcPr>
            <w:tcW w:w="720" w:type="dxa"/>
            <w:vAlign w:val="center"/>
          </w:tcPr>
          <w:p w14:paraId="12D9659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序号</w:t>
            </w:r>
          </w:p>
        </w:tc>
        <w:tc>
          <w:tcPr>
            <w:tcW w:w="2805" w:type="dxa"/>
          </w:tcPr>
          <w:p w14:paraId="391B8396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可研要求</w:t>
            </w:r>
          </w:p>
        </w:tc>
        <w:tc>
          <w:tcPr>
            <w:tcW w:w="2835" w:type="dxa"/>
          </w:tcPr>
          <w:p w14:paraId="6F93E5A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实际实施情况</w:t>
            </w:r>
          </w:p>
        </w:tc>
        <w:tc>
          <w:tcPr>
            <w:tcW w:w="1515" w:type="dxa"/>
            <w:vAlign w:val="center"/>
          </w:tcPr>
          <w:p w14:paraId="17DD776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落实情况自评</w:t>
            </w:r>
          </w:p>
        </w:tc>
      </w:tr>
      <w:tr w14:paraId="0814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  <w:vAlign w:val="center"/>
          </w:tcPr>
          <w:p w14:paraId="0C582C9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节</w:t>
            </w:r>
          </w:p>
          <w:p w14:paraId="2DB385D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能</w:t>
            </w:r>
          </w:p>
          <w:p w14:paraId="5B220236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技</w:t>
            </w:r>
          </w:p>
          <w:p w14:paraId="42BBB68C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术</w:t>
            </w:r>
          </w:p>
          <w:p w14:paraId="3656E609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措</w:t>
            </w:r>
          </w:p>
          <w:p w14:paraId="3EC3C48E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施</w:t>
            </w:r>
          </w:p>
        </w:tc>
        <w:tc>
          <w:tcPr>
            <w:tcW w:w="720" w:type="dxa"/>
            <w:vAlign w:val="center"/>
          </w:tcPr>
          <w:p w14:paraId="77585AE4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</w:t>
            </w:r>
          </w:p>
        </w:tc>
        <w:tc>
          <w:tcPr>
            <w:tcW w:w="2805" w:type="dxa"/>
          </w:tcPr>
          <w:p w14:paraId="13A3DED5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发电组件：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双</w:t>
            </w:r>
            <w:r>
              <w:rPr>
                <w:rFonts w:hint="eastAsia" w:ascii="宋体" w:hAnsi="宋体" w:eastAsia="宋体" w:cs="宋体"/>
                <w:sz w:val="21"/>
              </w:rPr>
              <w:t>面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双</w:t>
            </w:r>
            <w:r>
              <w:rPr>
                <w:rFonts w:hint="eastAsia" w:ascii="宋体" w:hAnsi="宋体" w:eastAsia="宋体" w:cs="宋体"/>
                <w:sz w:val="21"/>
              </w:rPr>
              <w:t>玻单晶硅光伏组件，5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</w:rPr>
              <w:t>0Wp</w:t>
            </w:r>
          </w:p>
        </w:tc>
        <w:tc>
          <w:tcPr>
            <w:tcW w:w="2835" w:type="dxa"/>
          </w:tcPr>
          <w:p w14:paraId="10A84A8D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发电组件：双面双玻单晶硅光伏组件，550Wp</w:t>
            </w:r>
          </w:p>
        </w:tc>
        <w:tc>
          <w:tcPr>
            <w:tcW w:w="1515" w:type="dxa"/>
            <w:vAlign w:val="center"/>
          </w:tcPr>
          <w:p w14:paraId="2340CD6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  <w:tr w14:paraId="0A8E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1E6A7B4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7608928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</w:t>
            </w:r>
          </w:p>
        </w:tc>
        <w:tc>
          <w:tcPr>
            <w:tcW w:w="2805" w:type="dxa"/>
          </w:tcPr>
          <w:p w14:paraId="41EA64A4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逆变器：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组串</w:t>
            </w:r>
            <w:r>
              <w:rPr>
                <w:rFonts w:hint="eastAsia" w:ascii="宋体" w:hAnsi="宋体" w:eastAsia="宋体" w:cs="宋体"/>
                <w:sz w:val="21"/>
              </w:rPr>
              <w:t>式逆变器，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196</w:t>
            </w:r>
            <w:r>
              <w:rPr>
                <w:rFonts w:hint="eastAsia" w:ascii="宋体" w:hAnsi="宋体" w:eastAsia="宋体" w:cs="宋体"/>
                <w:sz w:val="21"/>
              </w:rPr>
              <w:t>kW，效率98.5%。</w:t>
            </w:r>
          </w:p>
        </w:tc>
        <w:tc>
          <w:tcPr>
            <w:tcW w:w="2835" w:type="dxa"/>
          </w:tcPr>
          <w:p w14:paraId="6F3AE692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逆变器：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组串</w:t>
            </w:r>
            <w:r>
              <w:rPr>
                <w:rFonts w:hint="eastAsia" w:ascii="宋体" w:hAnsi="宋体" w:eastAsia="宋体" w:cs="宋体"/>
                <w:sz w:val="21"/>
              </w:rPr>
              <w:t>式逆变器，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196</w:t>
            </w:r>
            <w:r>
              <w:rPr>
                <w:rFonts w:hint="eastAsia" w:ascii="宋体" w:hAnsi="宋体" w:eastAsia="宋体" w:cs="宋体"/>
                <w:sz w:val="21"/>
              </w:rPr>
              <w:t>kW，效率98.5%。</w:t>
            </w:r>
          </w:p>
        </w:tc>
        <w:tc>
          <w:tcPr>
            <w:tcW w:w="1515" w:type="dxa"/>
            <w:vAlign w:val="center"/>
          </w:tcPr>
          <w:p w14:paraId="41AC5039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一致</w:t>
            </w:r>
          </w:p>
        </w:tc>
      </w:tr>
      <w:tr w14:paraId="02FD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4CBB170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406FAEED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3</w:t>
            </w:r>
          </w:p>
        </w:tc>
        <w:tc>
          <w:tcPr>
            <w:tcW w:w="2805" w:type="dxa"/>
          </w:tcPr>
          <w:p w14:paraId="1796A134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变压器能耗执行《电力变压器能效限定值及能效等级》</w:t>
            </w:r>
            <w:r>
              <w:rPr>
                <w:rFonts w:ascii="宋体" w:hAnsi="宋体" w:eastAsia="宋体" w:cs="宋体"/>
                <w:sz w:val="21"/>
              </w:rPr>
              <w:t>GB 20052-2020</w:t>
            </w:r>
            <w:r>
              <w:rPr>
                <w:rFonts w:hint="eastAsia" w:ascii="宋体" w:hAnsi="宋体" w:eastAsia="宋体" w:cs="宋体"/>
                <w:sz w:val="21"/>
              </w:rPr>
              <w:t>，满足规范要求二级能效标准。</w:t>
            </w:r>
          </w:p>
        </w:tc>
        <w:tc>
          <w:tcPr>
            <w:tcW w:w="2835" w:type="dxa"/>
          </w:tcPr>
          <w:p w14:paraId="08B2F8F9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升压变压器二级能效</w:t>
            </w:r>
          </w:p>
          <w:p w14:paraId="55061AF5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6645132D">
            <w:pPr>
              <w:overflowPunct w:val="0"/>
              <w:autoSpaceDE w:val="0"/>
              <w:autoSpaceDN w:val="0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6D57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543B6CA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06C3560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4</w:t>
            </w:r>
          </w:p>
        </w:tc>
        <w:tc>
          <w:tcPr>
            <w:tcW w:w="2805" w:type="dxa"/>
          </w:tcPr>
          <w:p w14:paraId="0EC8067D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在母线材料选型中，合理选择母线的规格型号，减少母线电阻产生的电能损耗，使得 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1"/>
              </w:rPr>
              <w:t xml:space="preserve">kV </w:t>
            </w:r>
            <w:r>
              <w:rPr>
                <w:rFonts w:hint="eastAsia" w:ascii="宋体" w:hAnsi="宋体" w:eastAsia="宋体" w:cs="宋体"/>
                <w:sz w:val="21"/>
              </w:rPr>
              <w:t xml:space="preserve">开关装置有功及无功损耗小于 </w:t>
            </w:r>
            <w:r>
              <w:rPr>
                <w:rFonts w:ascii="宋体" w:hAnsi="宋体" w:eastAsia="宋体" w:cs="宋体"/>
                <w:sz w:val="21"/>
              </w:rPr>
              <w:t>5%</w:t>
            </w:r>
            <w:r>
              <w:rPr>
                <w:rFonts w:hint="eastAsia" w:ascii="宋体" w:hAnsi="宋体" w:eastAsia="宋体" w:cs="宋体"/>
                <w:sz w:val="21"/>
              </w:rPr>
              <w:t>，降低运行费用。</w:t>
            </w:r>
          </w:p>
        </w:tc>
        <w:tc>
          <w:tcPr>
            <w:tcW w:w="2835" w:type="dxa"/>
          </w:tcPr>
          <w:p w14:paraId="2AADA8E0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63346D71">
            <w:pPr>
              <w:overflowPunct w:val="0"/>
              <w:autoSpaceDE w:val="0"/>
              <w:autoSpaceDN w:val="0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2588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7E1B058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6DB030CF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5</w:t>
            </w:r>
          </w:p>
        </w:tc>
        <w:tc>
          <w:tcPr>
            <w:tcW w:w="2805" w:type="dxa"/>
          </w:tcPr>
          <w:p w14:paraId="1B4D5F86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组件清洁：人工水洗组件方式</w:t>
            </w:r>
          </w:p>
        </w:tc>
        <w:tc>
          <w:tcPr>
            <w:tcW w:w="2835" w:type="dxa"/>
          </w:tcPr>
          <w:p w14:paraId="025667EF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组件清洁：</w:t>
            </w:r>
            <w:r>
              <w:rPr>
                <w:rFonts w:hint="eastAsia" w:ascii="宋体" w:hAnsi="宋体" w:eastAsia="宋体" w:cs="宋体"/>
                <w:sz w:val="21"/>
              </w:rPr>
              <w:t>人工水洗组件方式</w:t>
            </w:r>
          </w:p>
        </w:tc>
        <w:tc>
          <w:tcPr>
            <w:tcW w:w="1515" w:type="dxa"/>
            <w:vAlign w:val="center"/>
          </w:tcPr>
          <w:p w14:paraId="47DDDD8B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  <w:tr w14:paraId="7AE6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  <w:vAlign w:val="center"/>
          </w:tcPr>
          <w:p w14:paraId="11045840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节能管理措施</w:t>
            </w:r>
          </w:p>
        </w:tc>
        <w:tc>
          <w:tcPr>
            <w:tcW w:w="720" w:type="dxa"/>
            <w:vAlign w:val="center"/>
          </w:tcPr>
          <w:p w14:paraId="6EBA485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</w:t>
            </w:r>
          </w:p>
        </w:tc>
        <w:tc>
          <w:tcPr>
            <w:tcW w:w="2805" w:type="dxa"/>
          </w:tcPr>
          <w:p w14:paraId="7B76418A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能源管理机构</w:t>
            </w:r>
          </w:p>
        </w:tc>
        <w:tc>
          <w:tcPr>
            <w:tcW w:w="2835" w:type="dxa"/>
          </w:tcPr>
          <w:p w14:paraId="02BD48CB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已建立</w:t>
            </w:r>
          </w:p>
        </w:tc>
        <w:tc>
          <w:tcPr>
            <w:tcW w:w="1515" w:type="dxa"/>
            <w:vAlign w:val="center"/>
          </w:tcPr>
          <w:p w14:paraId="329E386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一致</w:t>
            </w:r>
          </w:p>
        </w:tc>
      </w:tr>
      <w:tr w14:paraId="682A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64C0BE4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5150980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</w:t>
            </w:r>
          </w:p>
        </w:tc>
        <w:tc>
          <w:tcPr>
            <w:tcW w:w="2805" w:type="dxa"/>
          </w:tcPr>
          <w:p w14:paraId="1BE48C59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能源管理制度</w:t>
            </w:r>
          </w:p>
        </w:tc>
        <w:tc>
          <w:tcPr>
            <w:tcW w:w="2835" w:type="dxa"/>
          </w:tcPr>
          <w:p w14:paraId="29E90355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已制定</w:t>
            </w:r>
          </w:p>
        </w:tc>
        <w:tc>
          <w:tcPr>
            <w:tcW w:w="1515" w:type="dxa"/>
            <w:vAlign w:val="center"/>
          </w:tcPr>
          <w:p w14:paraId="6B3194E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一致</w:t>
            </w:r>
          </w:p>
        </w:tc>
      </w:tr>
      <w:tr w14:paraId="08C0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4C53E09C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48DC8CF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</w:t>
            </w:r>
          </w:p>
        </w:tc>
        <w:tc>
          <w:tcPr>
            <w:tcW w:w="2805" w:type="dxa"/>
          </w:tcPr>
          <w:p w14:paraId="50181CAB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能源计量管理制度</w:t>
            </w:r>
          </w:p>
        </w:tc>
        <w:tc>
          <w:tcPr>
            <w:tcW w:w="2835" w:type="dxa"/>
          </w:tcPr>
          <w:p w14:paraId="4810B685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已制定</w:t>
            </w:r>
          </w:p>
        </w:tc>
        <w:tc>
          <w:tcPr>
            <w:tcW w:w="1515" w:type="dxa"/>
            <w:vAlign w:val="center"/>
          </w:tcPr>
          <w:p w14:paraId="4436E37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一致</w:t>
            </w:r>
          </w:p>
        </w:tc>
      </w:tr>
      <w:tr w14:paraId="5143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6ACBE63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2B4BB31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4</w:t>
            </w:r>
          </w:p>
        </w:tc>
        <w:tc>
          <w:tcPr>
            <w:tcW w:w="2805" w:type="dxa"/>
          </w:tcPr>
          <w:p w14:paraId="12220413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能耗监测系统</w:t>
            </w:r>
          </w:p>
        </w:tc>
        <w:tc>
          <w:tcPr>
            <w:tcW w:w="2835" w:type="dxa"/>
          </w:tcPr>
          <w:p w14:paraId="3E02FF68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已运行</w:t>
            </w:r>
          </w:p>
        </w:tc>
        <w:tc>
          <w:tcPr>
            <w:tcW w:w="1515" w:type="dxa"/>
            <w:vAlign w:val="center"/>
          </w:tcPr>
          <w:p w14:paraId="140CFC9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一致</w:t>
            </w:r>
          </w:p>
        </w:tc>
      </w:tr>
    </w:tbl>
    <w:p w14:paraId="159AF2DD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验收结论：项目工程工艺节能措施与可行性研究报告及节能承诺基本一致，基本落实。</w:t>
      </w:r>
    </w:p>
    <w:p w14:paraId="7463B517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6" w:name="_Toc2916"/>
      <w:r>
        <w:rPr>
          <w:rFonts w:hint="eastAsia"/>
        </w:rPr>
        <w:t>计量器具配备</w:t>
      </w:r>
      <w:bookmarkEnd w:id="6"/>
    </w:p>
    <w:p w14:paraId="30272506">
      <w:pPr>
        <w:ind w:firstLine="640"/>
        <w:rPr>
          <w:rFonts w:hint="eastAsia"/>
        </w:rPr>
      </w:pPr>
      <w:r>
        <w:rPr>
          <w:rFonts w:hint="eastAsia"/>
        </w:rPr>
        <w:t>按照《电力装置电测量仪表装置设计规范》（</w:t>
      </w:r>
      <w:r>
        <w:t>GB/T 50063</w:t>
      </w:r>
      <w:r>
        <w:rPr>
          <w:rFonts w:hint="eastAsia"/>
        </w:rPr>
        <w:t xml:space="preserve">-2017）标准要求，电能计量装置应满足发电、供电、用电的准确计量要求。 </w:t>
      </w:r>
    </w:p>
    <w:p w14:paraId="68C41FC8">
      <w:pPr>
        <w:ind w:firstLine="641"/>
        <w:rPr>
          <w:rFonts w:hint="eastAsia"/>
        </w:rPr>
      </w:pPr>
      <w:r>
        <w:rPr>
          <w:rFonts w:hint="eastAsia"/>
          <w:b/>
          <w:bCs/>
        </w:rPr>
        <w:t>可行性研究报告要求，</w:t>
      </w:r>
      <w:r>
        <w:rPr>
          <w:rFonts w:hint="eastAsia"/>
        </w:rPr>
        <w:t xml:space="preserve">本项目能源计量器具主要为电量，配置准确度 </w:t>
      </w:r>
      <w:r>
        <w:t xml:space="preserve">0.2S </w:t>
      </w:r>
      <w:r>
        <w:rPr>
          <w:rFonts w:hint="eastAsia"/>
        </w:rPr>
        <w:t xml:space="preserve">等级的电能表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台，配比率100%。</w:t>
      </w:r>
    </w:p>
    <w:p w14:paraId="47043C3C">
      <w:pPr>
        <w:ind w:firstLine="641"/>
        <w:rPr>
          <w:rFonts w:hint="eastAsia"/>
        </w:rPr>
      </w:pPr>
      <w:r>
        <w:rPr>
          <w:rFonts w:hint="eastAsia"/>
          <w:b/>
          <w:bCs/>
        </w:rPr>
        <w:t>经现场核验，</w:t>
      </w:r>
      <w:r>
        <w:rPr>
          <w:rFonts w:hint="eastAsia"/>
        </w:rPr>
        <w:t>实际配备情况见《电能表配置情况一览表》。</w:t>
      </w:r>
    </w:p>
    <w:p w14:paraId="088797F3">
      <w:pPr>
        <w:pStyle w:val="5"/>
        <w:ind w:firstLine="422"/>
        <w:jc w:val="center"/>
        <w:rPr>
          <w:rFonts w:hint="eastAsia" w:ascii="宋体" w:hAnsi="宋体" w:eastAsia="宋体" w:cs="宋体"/>
          <w:b/>
          <w:bCs/>
          <w:sz w:val="21"/>
        </w:rPr>
      </w:pPr>
    </w:p>
    <w:p w14:paraId="54DD0A10">
      <w:pPr>
        <w:pStyle w:val="5"/>
        <w:ind w:firstLine="422"/>
        <w:jc w:val="center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表4  电能表配置情况一览表</w:t>
      </w:r>
    </w:p>
    <w:tbl>
      <w:tblPr>
        <w:tblStyle w:val="10"/>
        <w:tblW w:w="82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849"/>
        <w:gridCol w:w="1335"/>
        <w:gridCol w:w="1545"/>
        <w:gridCol w:w="1440"/>
        <w:gridCol w:w="1442"/>
      </w:tblGrid>
      <w:tr w14:paraId="08C57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7D7E9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2E626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用能单位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43E36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安装地点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36193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资产编号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33AF1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8F0AB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准确度等级</w:t>
            </w:r>
          </w:p>
        </w:tc>
      </w:tr>
      <w:tr w14:paraId="2969D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34079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D27A4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1#升压变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69591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服务七队35kV开关站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4D775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A8009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DSZY521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EE5FC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0.2s</w:t>
            </w:r>
          </w:p>
        </w:tc>
      </w:tr>
      <w:tr w14:paraId="7F3BF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A9297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7F95D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2#升压变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2E546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护卫大队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E8C7F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DF816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DSZY521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E1F15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0.2s</w:t>
            </w:r>
          </w:p>
        </w:tc>
      </w:tr>
    </w:tbl>
    <w:p w14:paraId="6D02A3D6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核验结论： </w:t>
      </w:r>
    </w:p>
    <w:p w14:paraId="19542D13">
      <w:pPr>
        <w:ind w:firstLine="640"/>
        <w:rPr>
          <w:rFonts w:hint="eastAsia"/>
        </w:rPr>
      </w:pPr>
      <w:r>
        <w:rPr>
          <w:rFonts w:hint="eastAsia"/>
        </w:rPr>
        <w:t>项目进出用能计量器具按照《用能单位能源计量器具配备和管理通则》（GB17167-2006）和《电力装置电测量仪表装置设计规范》（</w:t>
      </w:r>
      <w:r>
        <w:t>GB/T 50063</w:t>
      </w:r>
      <w:r>
        <w:rPr>
          <w:rFonts w:hint="eastAsia"/>
        </w:rPr>
        <w:t>-2017）标准要求的要求已配置能源计量器具。</w:t>
      </w:r>
    </w:p>
    <w:p w14:paraId="4D51EDC5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7" w:name="_Toc11824"/>
      <w:r>
        <w:rPr>
          <w:rFonts w:hint="eastAsia"/>
        </w:rPr>
        <w:t>项目年综合能源消耗量</w:t>
      </w:r>
      <w:bookmarkEnd w:id="7"/>
    </w:p>
    <w:p w14:paraId="5B1B7D6D">
      <w:pPr>
        <w:pStyle w:val="5"/>
        <w:ind w:firstLine="640"/>
        <w:rPr>
          <w:rFonts w:hint="eastAsia"/>
          <w:b/>
          <w:bCs/>
        </w:rPr>
      </w:pPr>
      <w:r>
        <w:rPr>
          <w:rFonts w:hint="eastAsia"/>
        </w:rPr>
        <w:t>项目综合能源消耗分为光伏场区能源消耗两部分。项目在发电时段，能耗来自自发电，无碳排放，在停发时段能耗来自电网。本文能源消耗量，分别按总能源消耗量和含碳排放消耗量进行了统计。</w:t>
      </w:r>
      <w:r>
        <w:rPr>
          <w:rFonts w:hint="eastAsia"/>
          <w:b/>
          <w:bCs/>
        </w:rPr>
        <w:t>取含碳排放消耗量为法定能源消耗量考核依据。</w:t>
      </w:r>
    </w:p>
    <w:p w14:paraId="48A796CA">
      <w:pPr>
        <w:pStyle w:val="5"/>
        <w:ind w:firstLine="641"/>
        <w:rPr>
          <w:rFonts w:hint="eastAsia"/>
        </w:rPr>
      </w:pPr>
      <w:r>
        <w:rPr>
          <w:rFonts w:hint="eastAsia"/>
        </w:rPr>
        <w:t>光伏发电场区能耗主要是就地升压变压器损耗及</w:t>
      </w:r>
      <w:r>
        <w:rPr>
          <w:rFonts w:hint="eastAsia"/>
          <w:lang w:val="en-US" w:eastAsia="zh-CN"/>
        </w:rPr>
        <w:t>逆变器</w:t>
      </w:r>
      <w:r>
        <w:rPr>
          <w:rFonts w:hint="eastAsia"/>
        </w:rPr>
        <w:t>自用电量，此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部分无法定单独计量，只有逆变器推送的发电量和</w:t>
      </w:r>
      <w:r>
        <w:rPr>
          <w:rFonts w:hint="eastAsia"/>
          <w:lang w:val="en-US" w:eastAsia="zh-CN"/>
        </w:rPr>
        <w:t>高计结算</w:t>
      </w:r>
      <w:r>
        <w:rPr>
          <w:rFonts w:hint="eastAsia"/>
        </w:rPr>
        <w:t>计量，其中逆变器电量仅作为参考依据，</w:t>
      </w:r>
      <w:r>
        <w:rPr>
          <w:rFonts w:hint="eastAsia"/>
          <w:lang w:val="en-US" w:eastAsia="zh-CN"/>
        </w:rPr>
        <w:t>高计</w:t>
      </w:r>
      <w:r>
        <w:rPr>
          <w:rFonts w:hint="eastAsia"/>
        </w:rPr>
        <w:t xml:space="preserve">电能表下网电量作为光伏发电场区能耗法定计量。 </w:t>
      </w:r>
    </w:p>
    <w:p w14:paraId="60509534">
      <w:pPr>
        <w:pStyle w:val="5"/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可行性研究报告分析：</w:t>
      </w:r>
    </w:p>
    <w:p w14:paraId="4C4BD154">
      <w:pPr>
        <w:pStyle w:val="5"/>
        <w:numPr>
          <w:ilvl w:val="0"/>
          <w:numId w:val="8"/>
        </w:num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变压器年耗电量约2.75</w:t>
      </w:r>
      <w:r>
        <w:rPr>
          <w:rFonts w:hint="eastAsia"/>
        </w:rPr>
        <w:t>万kWh。</w:t>
      </w:r>
      <w:r>
        <w:rPr>
          <w:rFonts w:hint="eastAsia"/>
          <w:lang w:val="en-US" w:eastAsia="zh-CN"/>
        </w:rPr>
        <w:t xml:space="preserve"> </w:t>
      </w:r>
    </w:p>
    <w:p w14:paraId="13AA5005">
      <w:pPr>
        <w:pStyle w:val="5"/>
        <w:numPr>
          <w:ilvl w:val="0"/>
          <w:numId w:val="8"/>
        </w:numPr>
        <w:ind w:firstLine="640"/>
        <w:rPr>
          <w:rFonts w:hint="eastAsia"/>
        </w:rPr>
      </w:pPr>
      <w:r>
        <w:rPr>
          <w:rFonts w:hint="eastAsia"/>
          <w:lang w:val="en-US" w:eastAsia="zh-CN"/>
        </w:rPr>
        <w:t>组串式逆变器</w:t>
      </w:r>
      <w:r>
        <w:rPr>
          <w:rFonts w:hint="eastAsia"/>
        </w:rPr>
        <w:t>损耗，年损耗电量</w:t>
      </w:r>
      <w:r>
        <w:rPr>
          <w:rFonts w:hint="eastAsia"/>
          <w:lang w:val="en-US" w:eastAsia="zh-CN"/>
        </w:rPr>
        <w:t>0.24</w:t>
      </w:r>
      <w:r>
        <w:rPr>
          <w:rFonts w:hint="eastAsia"/>
        </w:rPr>
        <w:t>万kWh。</w:t>
      </w:r>
    </w:p>
    <w:p w14:paraId="07CC94C1">
      <w:pPr>
        <w:pStyle w:val="5"/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以上合计，总损耗</w:t>
      </w:r>
      <w:r>
        <w:rPr>
          <w:rFonts w:hint="eastAsia"/>
          <w:b/>
          <w:bCs/>
          <w:lang w:val="en-US" w:eastAsia="zh-CN"/>
        </w:rPr>
        <w:t>2.99</w:t>
      </w:r>
      <w:r>
        <w:rPr>
          <w:rFonts w:hint="eastAsia"/>
          <w:b/>
          <w:bCs/>
        </w:rPr>
        <w:t xml:space="preserve">万kWh。 </w:t>
      </w:r>
    </w:p>
    <w:p w14:paraId="4E7367C9">
      <w:pPr>
        <w:ind w:firstLine="640"/>
        <w:rPr>
          <w:rFonts w:hint="eastAsia"/>
        </w:rPr>
      </w:pPr>
      <w:r>
        <w:rPr>
          <w:rFonts w:hint="eastAsia"/>
        </w:rPr>
        <w:t>经现场核验，调阅202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月1日到202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月1日一年期间逆变器发电量数据和</w:t>
      </w:r>
      <w:r>
        <w:rPr>
          <w:rFonts w:hint="eastAsia"/>
          <w:lang w:val="en-US" w:eastAsia="zh-CN"/>
        </w:rPr>
        <w:t>高计</w:t>
      </w:r>
      <w:r>
        <w:rPr>
          <w:rFonts w:hint="eastAsia"/>
        </w:rPr>
        <w:t>电能表数据：</w:t>
      </w:r>
    </w:p>
    <w:p w14:paraId="3C616249">
      <w:pPr>
        <w:pStyle w:val="5"/>
        <w:numPr>
          <w:ilvl w:val="0"/>
          <w:numId w:val="9"/>
        </w:numPr>
        <w:ind w:firstLine="640"/>
        <w:rPr>
          <w:rFonts w:hint="eastAsia"/>
        </w:rPr>
      </w:pPr>
      <w:r>
        <w:rPr>
          <w:rFonts w:hint="eastAsia"/>
        </w:rPr>
        <w:t>逆变器发电量：该项目一年内逆变器发电量</w:t>
      </w:r>
      <w:r>
        <w:rPr>
          <w:rFonts w:hint="eastAsia"/>
          <w:lang w:val="en-US" w:eastAsia="zh-CN"/>
        </w:rPr>
        <w:t>317.029</w:t>
      </w:r>
      <w:r>
        <w:rPr>
          <w:rFonts w:hint="eastAsia"/>
        </w:rPr>
        <w:t>万kWh。</w:t>
      </w:r>
    </w:p>
    <w:p w14:paraId="73297AA3">
      <w:pPr>
        <w:pStyle w:val="5"/>
        <w:numPr>
          <w:ilvl w:val="0"/>
          <w:numId w:val="9"/>
        </w:numPr>
        <w:ind w:firstLine="640"/>
        <w:rPr>
          <w:rFonts w:hint="eastAsia"/>
        </w:rPr>
      </w:pPr>
      <w:r>
        <w:rPr>
          <w:rFonts w:hint="eastAsia"/>
          <w:lang w:val="en-US" w:eastAsia="zh-CN"/>
        </w:rPr>
        <w:t>高计电量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结算电量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315.8764</w:t>
      </w:r>
      <w:r>
        <w:rPr>
          <w:rFonts w:hint="eastAsia"/>
        </w:rPr>
        <w:t>万kWh；光伏停发时段，取</w:t>
      </w:r>
      <w:r>
        <w:rPr>
          <w:rFonts w:hint="eastAsia"/>
          <w:lang w:val="en-US" w:eastAsia="zh-CN"/>
        </w:rPr>
        <w:t>高计</w:t>
      </w:r>
      <w:r>
        <w:rPr>
          <w:rFonts w:hint="eastAsia"/>
        </w:rPr>
        <w:t>下网电量，</w:t>
      </w:r>
      <w:r>
        <w:rPr>
          <w:rFonts w:hint="eastAsia"/>
          <w:lang w:val="en-US" w:eastAsia="zh-CN"/>
        </w:rPr>
        <w:t>1.0279</w:t>
      </w:r>
      <w:r>
        <w:rPr>
          <w:rFonts w:hint="eastAsia"/>
        </w:rPr>
        <w:t>万kWh。</w:t>
      </w:r>
    </w:p>
    <w:p w14:paraId="1952AE90">
      <w:pPr>
        <w:pStyle w:val="5"/>
        <w:numPr>
          <w:ilvl w:val="0"/>
          <w:numId w:val="9"/>
        </w:numPr>
        <w:ind w:firstLine="640"/>
        <w:rPr>
          <w:rFonts w:hint="eastAsia"/>
        </w:rPr>
      </w:pPr>
      <w:r>
        <w:rPr>
          <w:rFonts w:hint="eastAsia"/>
        </w:rPr>
        <w:t>项目首年运行总损耗，</w:t>
      </w:r>
      <w:r>
        <w:rPr>
          <w:rFonts w:hint="eastAsia"/>
          <w:lang w:val="en-US" w:eastAsia="zh-CN"/>
        </w:rPr>
        <w:t>2.1805</w:t>
      </w:r>
      <w:r>
        <w:rPr>
          <w:rFonts w:hint="eastAsia"/>
        </w:rPr>
        <w:t>万kWh。</w:t>
      </w:r>
    </w:p>
    <w:p w14:paraId="13FF7ACB">
      <w:pPr>
        <w:pStyle w:val="5"/>
        <w:ind w:firstLine="422"/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1"/>
        </w:rPr>
        <w:t>表5  项目电量统计表</w:t>
      </w:r>
    </w:p>
    <w:tbl>
      <w:tblPr>
        <w:tblStyle w:val="10"/>
        <w:tblW w:w="8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725"/>
        <w:gridCol w:w="1418"/>
        <w:gridCol w:w="1530"/>
        <w:gridCol w:w="1500"/>
        <w:gridCol w:w="1442"/>
      </w:tblGrid>
      <w:tr w14:paraId="26926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853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E6D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计量名称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F86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开始时间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9FD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结束时间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4CD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上网电量</w:t>
            </w:r>
          </w:p>
          <w:p w14:paraId="4CB14AA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（万kWh）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3A1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下网电量</w:t>
            </w:r>
          </w:p>
          <w:p w14:paraId="79E3787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（万kWh）</w:t>
            </w:r>
          </w:p>
        </w:tc>
      </w:tr>
      <w:tr w14:paraId="1D590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9BD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F99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1#升压变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07E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2024/2/1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EDA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2025/2/1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E28B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295.7078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8CB06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1.0000</w:t>
            </w:r>
          </w:p>
        </w:tc>
      </w:tr>
      <w:tr w14:paraId="3C094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0AE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524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2#升压变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117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C71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EBA8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20.1686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6341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0.0279</w:t>
            </w:r>
          </w:p>
        </w:tc>
      </w:tr>
      <w:tr w14:paraId="2FF2F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46C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A0E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逆变器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6D4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E87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662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317.029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1F9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18476F4F">
      <w:pPr>
        <w:pStyle w:val="5"/>
        <w:ind w:firstLine="422"/>
        <w:jc w:val="center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表6  项目能源消费量情况表</w:t>
      </w:r>
    </w:p>
    <w:tbl>
      <w:tblPr>
        <w:tblStyle w:val="11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13"/>
        <w:gridCol w:w="862"/>
        <w:gridCol w:w="1325"/>
        <w:gridCol w:w="1063"/>
        <w:gridCol w:w="1025"/>
        <w:gridCol w:w="1212"/>
        <w:gridCol w:w="1038"/>
        <w:gridCol w:w="887"/>
      </w:tblGrid>
      <w:tr w14:paraId="4835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  <w:vAlign w:val="center"/>
          </w:tcPr>
          <w:p w14:paraId="0785ECE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能源消费种类</w:t>
            </w:r>
          </w:p>
        </w:tc>
        <w:tc>
          <w:tcPr>
            <w:tcW w:w="813" w:type="dxa"/>
            <w:vMerge w:val="restart"/>
            <w:vAlign w:val="center"/>
          </w:tcPr>
          <w:p w14:paraId="37DE7DD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计量单位</w:t>
            </w:r>
          </w:p>
        </w:tc>
        <w:tc>
          <w:tcPr>
            <w:tcW w:w="3250" w:type="dxa"/>
            <w:gridSpan w:val="3"/>
            <w:vAlign w:val="center"/>
          </w:tcPr>
          <w:p w14:paraId="6D8F4B3E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可研分析</w:t>
            </w:r>
          </w:p>
        </w:tc>
        <w:tc>
          <w:tcPr>
            <w:tcW w:w="3275" w:type="dxa"/>
            <w:gridSpan w:val="3"/>
            <w:vAlign w:val="center"/>
          </w:tcPr>
          <w:p w14:paraId="2D468010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实际消费量</w:t>
            </w:r>
          </w:p>
        </w:tc>
        <w:tc>
          <w:tcPr>
            <w:tcW w:w="887" w:type="dxa"/>
            <w:vMerge w:val="restart"/>
            <w:vAlign w:val="center"/>
          </w:tcPr>
          <w:p w14:paraId="04ABA71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占比</w:t>
            </w:r>
          </w:p>
        </w:tc>
      </w:tr>
      <w:tr w14:paraId="0255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vAlign w:val="center"/>
          </w:tcPr>
          <w:p w14:paraId="438DA5D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2C20AF5B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CF4060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实物量</w:t>
            </w:r>
          </w:p>
        </w:tc>
        <w:tc>
          <w:tcPr>
            <w:tcW w:w="1325" w:type="dxa"/>
            <w:vAlign w:val="center"/>
          </w:tcPr>
          <w:p w14:paraId="38974D4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折标系数</w:t>
            </w:r>
          </w:p>
          <w:p w14:paraId="1F7D3D0B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tce/10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superscript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kWh</w:t>
            </w:r>
          </w:p>
        </w:tc>
        <w:tc>
          <w:tcPr>
            <w:tcW w:w="1063" w:type="dxa"/>
            <w:vAlign w:val="center"/>
          </w:tcPr>
          <w:p w14:paraId="229BA01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折标准煤</w:t>
            </w:r>
          </w:p>
          <w:p w14:paraId="47589A8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tce</w:t>
            </w:r>
          </w:p>
        </w:tc>
        <w:tc>
          <w:tcPr>
            <w:tcW w:w="1025" w:type="dxa"/>
            <w:vAlign w:val="center"/>
          </w:tcPr>
          <w:p w14:paraId="2D2DB5B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实物量</w:t>
            </w:r>
          </w:p>
        </w:tc>
        <w:tc>
          <w:tcPr>
            <w:tcW w:w="1212" w:type="dxa"/>
            <w:vAlign w:val="center"/>
          </w:tcPr>
          <w:p w14:paraId="4DA0100E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折标系数</w:t>
            </w:r>
          </w:p>
          <w:p w14:paraId="1094D13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tce/10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superscript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kWh</w:t>
            </w:r>
          </w:p>
        </w:tc>
        <w:tc>
          <w:tcPr>
            <w:tcW w:w="1038" w:type="dxa"/>
            <w:vAlign w:val="center"/>
          </w:tcPr>
          <w:p w14:paraId="382BD71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折标准煤</w:t>
            </w:r>
          </w:p>
          <w:p w14:paraId="04E6931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tce</w:t>
            </w:r>
          </w:p>
        </w:tc>
        <w:tc>
          <w:tcPr>
            <w:tcW w:w="887" w:type="dxa"/>
            <w:vMerge w:val="continue"/>
            <w:vAlign w:val="center"/>
          </w:tcPr>
          <w:p w14:paraId="1CA508F6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  <w:tr w14:paraId="1E56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9" w:type="dxa"/>
            <w:gridSpan w:val="9"/>
            <w:vAlign w:val="center"/>
          </w:tcPr>
          <w:p w14:paraId="249C618C">
            <w:pPr>
              <w:pStyle w:val="5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总量：</w:t>
            </w:r>
          </w:p>
        </w:tc>
      </w:tr>
      <w:tr w14:paraId="4512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0A7D692B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电力</w:t>
            </w:r>
          </w:p>
        </w:tc>
        <w:tc>
          <w:tcPr>
            <w:tcW w:w="813" w:type="dxa"/>
            <w:vAlign w:val="center"/>
          </w:tcPr>
          <w:p w14:paraId="08383F29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superscript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kWh</w:t>
            </w:r>
          </w:p>
        </w:tc>
        <w:tc>
          <w:tcPr>
            <w:tcW w:w="862" w:type="dxa"/>
            <w:vAlign w:val="center"/>
          </w:tcPr>
          <w:p w14:paraId="70DBC5A2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2.99</w:t>
            </w:r>
          </w:p>
        </w:tc>
        <w:tc>
          <w:tcPr>
            <w:tcW w:w="1325" w:type="dxa"/>
            <w:vAlign w:val="center"/>
          </w:tcPr>
          <w:p w14:paraId="3A39CB77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1.229</w:t>
            </w:r>
          </w:p>
        </w:tc>
        <w:tc>
          <w:tcPr>
            <w:tcW w:w="1063" w:type="dxa"/>
            <w:vAlign w:val="center"/>
          </w:tcPr>
          <w:p w14:paraId="563F788F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3.67</w:t>
            </w:r>
          </w:p>
        </w:tc>
        <w:tc>
          <w:tcPr>
            <w:tcW w:w="1025" w:type="dxa"/>
            <w:vAlign w:val="center"/>
          </w:tcPr>
          <w:p w14:paraId="5C00E81B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2.1805</w:t>
            </w:r>
          </w:p>
        </w:tc>
        <w:tc>
          <w:tcPr>
            <w:tcW w:w="1212" w:type="dxa"/>
            <w:vAlign w:val="center"/>
          </w:tcPr>
          <w:p w14:paraId="29D52BB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1.229</w:t>
            </w:r>
          </w:p>
        </w:tc>
        <w:tc>
          <w:tcPr>
            <w:tcW w:w="1038" w:type="dxa"/>
            <w:vAlign w:val="center"/>
          </w:tcPr>
          <w:p w14:paraId="71FA4E56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2.679</w:t>
            </w:r>
          </w:p>
        </w:tc>
        <w:tc>
          <w:tcPr>
            <w:tcW w:w="887" w:type="dxa"/>
            <w:vAlign w:val="center"/>
          </w:tcPr>
          <w:p w14:paraId="2A9C310E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72.93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%</w:t>
            </w:r>
          </w:p>
        </w:tc>
      </w:tr>
      <w:tr w14:paraId="65F4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9" w:type="dxa"/>
            <w:gridSpan w:val="9"/>
            <w:vAlign w:val="center"/>
          </w:tcPr>
          <w:p w14:paraId="78295D7F">
            <w:pPr>
              <w:pStyle w:val="5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其中，含碳排放消费量：</w:t>
            </w:r>
          </w:p>
        </w:tc>
      </w:tr>
      <w:tr w14:paraId="2F86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792A29B7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618F4D4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193DFE0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14:paraId="31007AB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A71100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E81C4C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2.1805</w:t>
            </w:r>
          </w:p>
        </w:tc>
        <w:tc>
          <w:tcPr>
            <w:tcW w:w="1212" w:type="dxa"/>
            <w:vAlign w:val="center"/>
          </w:tcPr>
          <w:p w14:paraId="3367AC8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1.229</w:t>
            </w:r>
          </w:p>
        </w:tc>
        <w:tc>
          <w:tcPr>
            <w:tcW w:w="1038" w:type="dxa"/>
            <w:vAlign w:val="center"/>
          </w:tcPr>
          <w:p w14:paraId="2B52E939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2.679</w:t>
            </w:r>
          </w:p>
        </w:tc>
        <w:tc>
          <w:tcPr>
            <w:tcW w:w="887" w:type="dxa"/>
            <w:vAlign w:val="center"/>
          </w:tcPr>
          <w:p w14:paraId="26CA074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</w:tbl>
    <w:p w14:paraId="62B5FF13">
      <w:pPr>
        <w:pStyle w:val="5"/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</w:t>
      </w:r>
      <w:r>
        <w:rPr>
          <w:rFonts w:hint="eastAsia"/>
        </w:rPr>
        <w:t>项目工程年综合能源消费总量首年值比可行性研究报告分析值少3</w:t>
      </w:r>
      <w:r>
        <w:rPr>
          <w:rFonts w:hint="eastAsia"/>
          <w:lang w:val="en-US" w:eastAsia="zh-CN"/>
        </w:rPr>
        <w:t>7.07</w:t>
      </w:r>
      <w:r>
        <w:rPr>
          <w:rFonts w:hint="eastAsia"/>
        </w:rPr>
        <w:t>%。</w:t>
      </w:r>
      <w:r>
        <w:rPr>
          <w:rFonts w:hint="eastAsia"/>
          <w:b/>
          <w:bCs/>
        </w:rPr>
        <w:t>，项目完全落实能耗规划和节能承诺。</w:t>
      </w:r>
    </w:p>
    <w:p w14:paraId="7B076540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8" w:name="_Toc2196"/>
      <w:r>
        <w:rPr>
          <w:rFonts w:hint="eastAsia"/>
        </w:rPr>
        <w:t>项目能效水平</w:t>
      </w:r>
      <w:bookmarkEnd w:id="8"/>
    </w:p>
    <w:p w14:paraId="65C430EC">
      <w:p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根据《光伏发电系统效能规范》NB/T 10394-2020规定，系统能效比指光伏发电系统上网电量与理论发电量的比值，用于衡量光伏发电系统发电效率。</w:t>
      </w:r>
    </w:p>
    <w:p w14:paraId="3295C47F">
      <w:pPr>
        <w:ind w:firstLine="641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  <w:b/>
          <w:bCs/>
        </w:rPr>
        <w:t>可行性研究报告分析指出：</w:t>
      </w:r>
      <w:r>
        <w:rPr>
          <w:rFonts w:hint="eastAsia" w:ascii="华文仿宋" w:hAnsi="华文仿宋" w:cs="华文仿宋"/>
        </w:rPr>
        <w:t>项目地理位置 31°倾斜面上太阳辐射量1</w:t>
      </w:r>
      <w:r>
        <w:rPr>
          <w:rFonts w:hint="eastAsia" w:ascii="华文仿宋" w:hAnsi="华文仿宋" w:cs="华文仿宋"/>
          <w:lang w:val="en-US" w:eastAsia="zh-CN"/>
        </w:rPr>
        <w:t>546</w:t>
      </w:r>
      <w:r>
        <w:rPr>
          <w:rFonts w:hint="eastAsia" w:ascii="华文仿宋" w:hAnsi="华文仿宋" w:cs="华文仿宋"/>
        </w:rPr>
        <w:t>kWh/m</w:t>
      </w:r>
      <w:r>
        <w:rPr>
          <w:rFonts w:hint="eastAsia" w:ascii="华文仿宋" w:hAnsi="华文仿宋" w:cs="华文仿宋"/>
          <w:vertAlign w:val="superscript"/>
        </w:rPr>
        <w:t>2</w:t>
      </w:r>
      <w:r>
        <w:rPr>
          <w:rFonts w:hint="eastAsia" w:ascii="华文仿宋" w:hAnsi="华文仿宋" w:cs="华文仿宋"/>
        </w:rPr>
        <w:t>，即峰值小时数1</w:t>
      </w:r>
      <w:r>
        <w:rPr>
          <w:rFonts w:hint="eastAsia" w:ascii="华文仿宋" w:hAnsi="华文仿宋" w:cs="华文仿宋"/>
          <w:lang w:val="en-US" w:eastAsia="zh-CN"/>
        </w:rPr>
        <w:t>546</w:t>
      </w:r>
      <w:r>
        <w:rPr>
          <w:rFonts w:hint="eastAsia" w:ascii="华文仿宋" w:hAnsi="华文仿宋" w:cs="华文仿宋"/>
        </w:rPr>
        <w:t>h。项目实际装机容量</w:t>
      </w:r>
      <w:r>
        <w:rPr>
          <w:rFonts w:hint="eastAsia" w:ascii="华文仿宋" w:hAnsi="华文仿宋" w:cs="华文仿宋"/>
          <w:lang w:val="en-US" w:eastAsia="zh-CN"/>
        </w:rPr>
        <w:t>2.3452</w:t>
      </w:r>
      <w:r>
        <w:rPr>
          <w:rFonts w:hint="eastAsia" w:ascii="华文仿宋" w:hAnsi="华文仿宋" w:cs="华文仿宋"/>
        </w:rPr>
        <w:t>MWp，理论直流侧发电量</w:t>
      </w:r>
      <w:r>
        <w:rPr>
          <w:rFonts w:hint="eastAsia" w:ascii="华文仿宋" w:hAnsi="华文仿宋" w:cs="华文仿宋"/>
          <w:lang w:val="en-US" w:eastAsia="zh-CN"/>
        </w:rPr>
        <w:t>362.5679</w:t>
      </w:r>
      <w:r>
        <w:rPr>
          <w:rFonts w:hint="eastAsia" w:ascii="华文仿宋" w:hAnsi="华文仿宋" w:cs="华文仿宋"/>
        </w:rPr>
        <w:t>万kWh。经估算修正，电站建成后第一年上网发电量为</w:t>
      </w:r>
      <w:r>
        <w:rPr>
          <w:rFonts w:hint="eastAsia" w:ascii="华文仿宋" w:hAnsi="华文仿宋" w:cs="华文仿宋"/>
          <w:lang w:val="en-US" w:eastAsia="zh-CN"/>
        </w:rPr>
        <w:t>297.6682</w:t>
      </w:r>
      <w:r>
        <w:rPr>
          <w:rFonts w:hint="eastAsia" w:ascii="华文仿宋" w:hAnsi="华文仿宋" w:cs="华文仿宋"/>
        </w:rPr>
        <w:t>万kWh。</w:t>
      </w:r>
    </w:p>
    <w:p w14:paraId="36A01228">
      <w:pPr>
        <w:ind w:firstLine="641"/>
        <w:rPr>
          <w:rFonts w:hint="eastAsia" w:ascii="华文仿宋" w:hAnsi="华文仿宋" w:cs="华文仿宋"/>
          <w:b/>
          <w:bCs/>
        </w:rPr>
      </w:pPr>
      <w:r>
        <w:rPr>
          <w:rFonts w:hint="eastAsia" w:ascii="华文仿宋" w:hAnsi="华文仿宋" w:cs="华文仿宋"/>
          <w:b/>
          <w:bCs/>
        </w:rPr>
        <w:t>经现场核验，项目首年上网电量</w:t>
      </w:r>
      <w:r>
        <w:rPr>
          <w:rFonts w:hint="eastAsia"/>
          <w:lang w:val="en-US" w:eastAsia="zh-CN"/>
        </w:rPr>
        <w:t>315.8764</w:t>
      </w:r>
      <w:r>
        <w:rPr>
          <w:rFonts w:hint="eastAsia" w:ascii="华文仿宋" w:hAnsi="华文仿宋" w:cs="华文仿宋"/>
          <w:b/>
          <w:bCs/>
        </w:rPr>
        <w:t>万kWh。</w:t>
      </w:r>
    </w:p>
    <w:p w14:paraId="35E55017">
      <w:pPr>
        <w:pStyle w:val="5"/>
        <w:ind w:firstLine="422"/>
        <w:jc w:val="center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表7  项目系统能效比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49"/>
        <w:gridCol w:w="1700"/>
        <w:gridCol w:w="2187"/>
        <w:gridCol w:w="2177"/>
      </w:tblGrid>
      <w:tr w14:paraId="4EBD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393E47B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能效指标</w:t>
            </w:r>
          </w:p>
        </w:tc>
        <w:tc>
          <w:tcPr>
            <w:tcW w:w="749" w:type="dxa"/>
          </w:tcPr>
          <w:p w14:paraId="2552FF2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700" w:type="dxa"/>
          </w:tcPr>
          <w:p w14:paraId="7C12EDF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可研报告值</w:t>
            </w:r>
          </w:p>
        </w:tc>
        <w:tc>
          <w:tcPr>
            <w:tcW w:w="2187" w:type="dxa"/>
          </w:tcPr>
          <w:p w14:paraId="7D4091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首年运行值</w:t>
            </w:r>
          </w:p>
        </w:tc>
        <w:tc>
          <w:tcPr>
            <w:tcW w:w="2177" w:type="dxa"/>
          </w:tcPr>
          <w:p w14:paraId="311005D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标准先进值</w:t>
            </w:r>
          </w:p>
        </w:tc>
      </w:tr>
      <w:tr w14:paraId="4533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58F508B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系统能效比（PR)</w:t>
            </w:r>
          </w:p>
        </w:tc>
        <w:tc>
          <w:tcPr>
            <w:tcW w:w="749" w:type="dxa"/>
          </w:tcPr>
          <w:p w14:paraId="4B5C7D9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700" w:type="dxa"/>
          </w:tcPr>
          <w:p w14:paraId="364B08A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87" w:type="dxa"/>
          </w:tcPr>
          <w:p w14:paraId="7797159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7.12</w:t>
            </w:r>
          </w:p>
        </w:tc>
        <w:tc>
          <w:tcPr>
            <w:tcW w:w="2177" w:type="dxa"/>
          </w:tcPr>
          <w:p w14:paraId="7A23A9B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</w:tr>
    </w:tbl>
    <w:p w14:paraId="581951C0">
      <w:pPr>
        <w:ind w:firstLine="640"/>
        <w:rPr>
          <w:rFonts w:hint="eastAsia"/>
        </w:rPr>
      </w:pPr>
      <w:r>
        <w:rPr>
          <w:rFonts w:hint="eastAsia"/>
        </w:rPr>
        <w:t>由上表可知，本项目系统能效比首年运行值较可研</w:t>
      </w:r>
      <w:r>
        <w:rPr>
          <w:rFonts w:hint="eastAsia"/>
          <w:lang w:val="en-US" w:eastAsia="zh-CN"/>
        </w:rPr>
        <w:t>高5.02</w:t>
      </w:r>
      <w:r>
        <w:rPr>
          <w:rFonts w:hint="eastAsia"/>
        </w:rPr>
        <w:t>，高于标准先进值80。</w:t>
      </w:r>
    </w:p>
    <w:p w14:paraId="5E620552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验收结论：项目能效水平达到行业领先水平。</w:t>
      </w:r>
    </w:p>
    <w:p w14:paraId="7172FB12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9" w:name="_Toc18051"/>
      <w:r>
        <w:rPr>
          <w:rFonts w:hint="eastAsia"/>
        </w:rPr>
        <w:t>结论和问题</w:t>
      </w:r>
      <w:bookmarkEnd w:id="9"/>
    </w:p>
    <w:p w14:paraId="6316CB09">
      <w:pPr>
        <w:ind w:firstLine="640"/>
        <w:rPr>
          <w:rFonts w:hint="eastAsia"/>
          <w:b/>
          <w:bCs/>
        </w:rPr>
      </w:pPr>
      <w:r>
        <w:rPr>
          <w:rFonts w:hint="eastAsia" w:ascii="华文仿宋" w:hAnsi="华文仿宋" w:cs="华文仿宋"/>
        </w:rPr>
        <w:t>根据《固定资产投资项目节能审查办法》（国家发展改革委令2023年第2号）、《山东省固定资产投资项目节能验收管理办法（试行）》[2024]657号等政策文件，参考《</w:t>
      </w:r>
      <w:r>
        <w:rPr>
          <w:rFonts w:hint="eastAsia" w:ascii="华文仿宋" w:hAnsi="华文仿宋" w:cs="华文仿宋"/>
          <w:lang w:eastAsia="zh-CN"/>
        </w:rPr>
        <w:t>油气井下作业中心原孤东特车大队区域光伏发电工程</w:t>
      </w:r>
      <w:r>
        <w:rPr>
          <w:rFonts w:hint="eastAsia" w:ascii="华文仿宋" w:hAnsi="华文仿宋" w:cs="华文仿宋"/>
        </w:rPr>
        <w:t>可行性研究报告》</w:t>
      </w:r>
      <w:r>
        <w:t>，依据《固定资产投资项目节能审查系列工作指南》（2018年</w:t>
      </w:r>
      <w:r>
        <w:rPr>
          <w:rFonts w:hint="eastAsia"/>
        </w:rPr>
        <w:t>版</w:t>
      </w:r>
      <w:r>
        <w:t>），基于</w:t>
      </w:r>
      <w:r>
        <w:rPr>
          <w:rFonts w:hint="eastAsia"/>
        </w:rPr>
        <w:t>项目可行性研究报告中的节能分析和相关承诺，</w:t>
      </w:r>
      <w:r>
        <w:t>对</w:t>
      </w:r>
      <w:r>
        <w:rPr>
          <w:rFonts w:hint="eastAsia"/>
          <w:lang w:eastAsia="zh-CN"/>
        </w:rPr>
        <w:t>油气井下作业中心原孤东特车大队区域光伏发电工程</w:t>
      </w:r>
      <w:r>
        <w:t>实际建成内容和规模、建设方案、用能设备、节能技术和管理措施、能源计量器具的落实情况以及能效水平、能源消费量等情况进行节能验收，得出结论如下：</w:t>
      </w:r>
    </w:p>
    <w:p w14:paraId="7C780EE1">
      <w:pPr>
        <w:numPr>
          <w:ilvl w:val="0"/>
          <w:numId w:val="10"/>
        </w:numPr>
        <w:ind w:firstLine="640"/>
        <w:rPr>
          <w:rFonts w:hint="eastAsia"/>
          <w:b/>
          <w:bCs/>
        </w:rPr>
      </w:pPr>
      <w:r>
        <w:t>项目已建成的建设工艺、建设规模、总平面布置未发生变更，与</w:t>
      </w:r>
      <w:r>
        <w:rPr>
          <w:rFonts w:hint="eastAsia"/>
        </w:rPr>
        <w:t>可行性研究报告</w:t>
      </w:r>
      <w:r>
        <w:t>基本一致，全部落实。</w:t>
      </w:r>
    </w:p>
    <w:p w14:paraId="24DFBC2F">
      <w:pPr>
        <w:numPr>
          <w:ilvl w:val="0"/>
          <w:numId w:val="10"/>
        </w:numPr>
        <w:ind w:firstLine="640"/>
        <w:rPr>
          <w:rFonts w:hint="eastAsia"/>
          <w:b/>
          <w:bCs/>
        </w:rPr>
      </w:pPr>
      <w:r>
        <w:t>项目主要生产</w:t>
      </w:r>
      <w:r>
        <w:rPr>
          <w:rFonts w:hint="eastAsia"/>
        </w:rPr>
        <w:t>工艺</w:t>
      </w:r>
      <w:r>
        <w:t>设备以及主要公辅设备等设备均满足</w:t>
      </w:r>
      <w:r>
        <w:rPr>
          <w:rFonts w:hint="eastAsia"/>
        </w:rPr>
        <w:t>可行性研究报告</w:t>
      </w:r>
      <w:r>
        <w:t>能效等级要求，能效等级基本落实</w:t>
      </w:r>
    </w:p>
    <w:p w14:paraId="36432706">
      <w:pPr>
        <w:numPr>
          <w:ilvl w:val="0"/>
          <w:numId w:val="10"/>
        </w:numPr>
        <w:ind w:firstLine="640"/>
        <w:rPr>
          <w:rFonts w:hint="eastAsia"/>
          <w:b/>
          <w:bCs/>
        </w:rPr>
      </w:pPr>
      <w:r>
        <w:t>项目基本按照</w:t>
      </w:r>
      <w:r>
        <w:rPr>
          <w:rFonts w:hint="eastAsia"/>
        </w:rPr>
        <w:t>可行性研究</w:t>
      </w:r>
      <w:r>
        <w:t>报告提出的节能措施进行建设，采用的节能措施切实可行，基本落实。</w:t>
      </w:r>
    </w:p>
    <w:p w14:paraId="493CE3C0">
      <w:pPr>
        <w:numPr>
          <w:ilvl w:val="0"/>
          <w:numId w:val="10"/>
        </w:numPr>
        <w:ind w:firstLine="640"/>
        <w:rPr>
          <w:rFonts w:hint="eastAsia"/>
          <w:b/>
          <w:bCs/>
        </w:rPr>
      </w:pPr>
      <w:r>
        <w:t>项目进出用能计量器具基本按照《用能单位能源计量器具配备和管理通则》（GB17167-2006）的要求配置能源计量器具。</w:t>
      </w:r>
    </w:p>
    <w:p w14:paraId="3FFA1D08">
      <w:pPr>
        <w:numPr>
          <w:ilvl w:val="0"/>
          <w:numId w:val="10"/>
        </w:numPr>
        <w:ind w:firstLine="640"/>
        <w:rPr>
          <w:rFonts w:hint="eastAsia"/>
          <w:b/>
          <w:bCs/>
        </w:rPr>
      </w:pPr>
      <w:r>
        <w:t>项目</w:t>
      </w:r>
      <w:r>
        <w:rPr>
          <w:rFonts w:hint="eastAsia"/>
        </w:rPr>
        <w:t>系统能效比8</w:t>
      </w:r>
      <w:r>
        <w:rPr>
          <w:rFonts w:hint="eastAsia"/>
          <w:lang w:val="en-US" w:eastAsia="zh-CN"/>
        </w:rPr>
        <w:t>7.12</w:t>
      </w:r>
      <w:r>
        <w:rPr>
          <w:rFonts w:hint="eastAsia"/>
        </w:rPr>
        <w:t>，超出行业优秀水平。</w:t>
      </w:r>
    </w:p>
    <w:p w14:paraId="7938A567">
      <w:pPr>
        <w:ind w:firstLine="641"/>
        <w:rPr>
          <w:rFonts w:hint="eastAsia"/>
          <w:b/>
          <w:bCs/>
        </w:rPr>
      </w:pPr>
      <w:r>
        <w:rPr>
          <w:b/>
          <w:bCs/>
        </w:rPr>
        <w:t>综上所述，基于</w:t>
      </w:r>
      <w:r>
        <w:rPr>
          <w:rFonts w:hint="eastAsia"/>
          <w:b/>
          <w:bCs/>
        </w:rPr>
        <w:t>可行性研究报告及节能承诺，</w:t>
      </w:r>
      <w:r>
        <w:rPr>
          <w:b/>
          <w:bCs/>
        </w:rPr>
        <w:t>针对项目已建成的内容</w:t>
      </w:r>
      <w:r>
        <w:rPr>
          <w:rFonts w:hint="eastAsia"/>
          <w:b/>
          <w:bCs/>
        </w:rPr>
        <w:t>、</w:t>
      </w:r>
      <w:r>
        <w:rPr>
          <w:b/>
          <w:bCs/>
        </w:rPr>
        <w:t>规模</w:t>
      </w:r>
      <w:r>
        <w:rPr>
          <w:rFonts w:hint="eastAsia"/>
          <w:b/>
          <w:bCs/>
        </w:rPr>
        <w:t>和首年运行情况</w:t>
      </w:r>
      <w:r>
        <w:rPr>
          <w:b/>
          <w:bCs/>
        </w:rPr>
        <w:t>，建议通过节能验收</w:t>
      </w:r>
      <w:r>
        <w:rPr>
          <w:rFonts w:hint="eastAsia"/>
          <w:b/>
          <w:bCs/>
        </w:rPr>
        <w:t>。</w:t>
      </w:r>
    </w:p>
    <w:sectPr>
      <w:headerReference r:id="rId11" w:type="default"/>
      <w:footerReference r:id="rId12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E3B03">
    <w:pPr>
      <w:pStyle w:val="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D26DA">
    <w:pPr>
      <w:pStyle w:val="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7D1B3">
    <w:pPr>
      <w:pStyle w:val="6"/>
      <w:ind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A626A">
    <w:pPr>
      <w:pStyle w:val="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6AFCC">
    <w:pPr>
      <w:pStyle w:val="7"/>
      <w:pBdr>
        <w:bottom w:val="none" w:color="auto" w:sz="0" w:space="1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A4035">
    <w:pPr>
      <w:pStyle w:val="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E037">
    <w:pPr>
      <w:pStyle w:val="7"/>
      <w:ind w:firstLine="360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E9CCF">
    <w:pPr>
      <w:pStyle w:val="7"/>
      <w:pBdr>
        <w:bottom w:val="none" w:color="auto" w:sz="0" w:space="1"/>
      </w:pBdr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1301C"/>
    <w:multiLevelType w:val="singleLevel"/>
    <w:tmpl w:val="9591301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2C8DA81"/>
    <w:multiLevelType w:val="singleLevel"/>
    <w:tmpl w:val="A2C8DA8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6D9241F"/>
    <w:multiLevelType w:val="singleLevel"/>
    <w:tmpl w:val="B6D924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95A6150"/>
    <w:multiLevelType w:val="singleLevel"/>
    <w:tmpl w:val="B95A615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E98DD57D"/>
    <w:multiLevelType w:val="singleLevel"/>
    <w:tmpl w:val="E98DD5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1F4CF72"/>
    <w:multiLevelType w:val="singleLevel"/>
    <w:tmpl w:val="01F4CF7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24DC16D7"/>
    <w:multiLevelType w:val="singleLevel"/>
    <w:tmpl w:val="24DC16D7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2CFBD018"/>
    <w:multiLevelType w:val="singleLevel"/>
    <w:tmpl w:val="2CFBD018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4EA7218D"/>
    <w:multiLevelType w:val="singleLevel"/>
    <w:tmpl w:val="4EA7218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6D2A0145"/>
    <w:multiLevelType w:val="singleLevel"/>
    <w:tmpl w:val="6D2A014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revisionView w:markup="0"/>
  <w:documentProtection w:enforcement="0"/>
  <w:defaultTabStop w:val="420"/>
  <w:drawingGridVerticalSpacing w:val="22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9"/>
    <w:rsid w:val="000E4289"/>
    <w:rsid w:val="001B407A"/>
    <w:rsid w:val="001F7C0E"/>
    <w:rsid w:val="00460567"/>
    <w:rsid w:val="004D1DCE"/>
    <w:rsid w:val="006E5C31"/>
    <w:rsid w:val="007E1C10"/>
    <w:rsid w:val="008104F3"/>
    <w:rsid w:val="0082303E"/>
    <w:rsid w:val="00847EBB"/>
    <w:rsid w:val="009412A9"/>
    <w:rsid w:val="00982B77"/>
    <w:rsid w:val="009C69CD"/>
    <w:rsid w:val="00A42A0E"/>
    <w:rsid w:val="00A95A9A"/>
    <w:rsid w:val="00AD2882"/>
    <w:rsid w:val="00CA3FEB"/>
    <w:rsid w:val="00D07075"/>
    <w:rsid w:val="00D73606"/>
    <w:rsid w:val="00E9147C"/>
    <w:rsid w:val="00EC0B6A"/>
    <w:rsid w:val="00F01C4C"/>
    <w:rsid w:val="00F31950"/>
    <w:rsid w:val="01442511"/>
    <w:rsid w:val="01463C70"/>
    <w:rsid w:val="01700269"/>
    <w:rsid w:val="036C2840"/>
    <w:rsid w:val="041B14CC"/>
    <w:rsid w:val="0457222B"/>
    <w:rsid w:val="05191440"/>
    <w:rsid w:val="052C30CD"/>
    <w:rsid w:val="056F5F17"/>
    <w:rsid w:val="05847419"/>
    <w:rsid w:val="05BF3F24"/>
    <w:rsid w:val="06443FD4"/>
    <w:rsid w:val="07807FC3"/>
    <w:rsid w:val="08130D4D"/>
    <w:rsid w:val="0847222C"/>
    <w:rsid w:val="0865202A"/>
    <w:rsid w:val="09152EA8"/>
    <w:rsid w:val="09C000DC"/>
    <w:rsid w:val="09D07DA9"/>
    <w:rsid w:val="0AF05C82"/>
    <w:rsid w:val="0CE473B7"/>
    <w:rsid w:val="0CF12E49"/>
    <w:rsid w:val="0D224C0A"/>
    <w:rsid w:val="0D3D54C7"/>
    <w:rsid w:val="0DB5640A"/>
    <w:rsid w:val="0E010A88"/>
    <w:rsid w:val="0EC8358F"/>
    <w:rsid w:val="0F274759"/>
    <w:rsid w:val="0F5612A1"/>
    <w:rsid w:val="0F5A453C"/>
    <w:rsid w:val="10807BA2"/>
    <w:rsid w:val="12E96D17"/>
    <w:rsid w:val="15BB5BFB"/>
    <w:rsid w:val="15F64E85"/>
    <w:rsid w:val="163B0AEA"/>
    <w:rsid w:val="16864F84"/>
    <w:rsid w:val="1698250D"/>
    <w:rsid w:val="16A9014A"/>
    <w:rsid w:val="16D85C88"/>
    <w:rsid w:val="17DB1E48"/>
    <w:rsid w:val="18810F44"/>
    <w:rsid w:val="19091420"/>
    <w:rsid w:val="1954174D"/>
    <w:rsid w:val="195C29B4"/>
    <w:rsid w:val="19840D69"/>
    <w:rsid w:val="1B356531"/>
    <w:rsid w:val="1B60171F"/>
    <w:rsid w:val="1C085913"/>
    <w:rsid w:val="1D4C4073"/>
    <w:rsid w:val="1DA0685C"/>
    <w:rsid w:val="1DBD6EEA"/>
    <w:rsid w:val="1DC97EE6"/>
    <w:rsid w:val="1E182E21"/>
    <w:rsid w:val="1E3F19AC"/>
    <w:rsid w:val="20E307AD"/>
    <w:rsid w:val="21060EBB"/>
    <w:rsid w:val="21DE144D"/>
    <w:rsid w:val="223D47BB"/>
    <w:rsid w:val="22BD5826"/>
    <w:rsid w:val="237F064A"/>
    <w:rsid w:val="24EA2059"/>
    <w:rsid w:val="25BA5D33"/>
    <w:rsid w:val="25DD396C"/>
    <w:rsid w:val="26B07208"/>
    <w:rsid w:val="26F50BF6"/>
    <w:rsid w:val="2777374E"/>
    <w:rsid w:val="27B23302"/>
    <w:rsid w:val="28275AF0"/>
    <w:rsid w:val="287F3F80"/>
    <w:rsid w:val="28CC471E"/>
    <w:rsid w:val="296E1870"/>
    <w:rsid w:val="29894432"/>
    <w:rsid w:val="29DD60BB"/>
    <w:rsid w:val="2B324CAE"/>
    <w:rsid w:val="2C9F6F43"/>
    <w:rsid w:val="2D8F19F0"/>
    <w:rsid w:val="2EA30912"/>
    <w:rsid w:val="2EDB0A6C"/>
    <w:rsid w:val="2F652BCF"/>
    <w:rsid w:val="2FC254E7"/>
    <w:rsid w:val="2FD478B7"/>
    <w:rsid w:val="301A1B58"/>
    <w:rsid w:val="30E965CE"/>
    <w:rsid w:val="313A132E"/>
    <w:rsid w:val="31801FC4"/>
    <w:rsid w:val="33A132C4"/>
    <w:rsid w:val="33D90E9F"/>
    <w:rsid w:val="34FA0F76"/>
    <w:rsid w:val="35021C06"/>
    <w:rsid w:val="355E0C9B"/>
    <w:rsid w:val="35831E3A"/>
    <w:rsid w:val="365442FF"/>
    <w:rsid w:val="3691198F"/>
    <w:rsid w:val="36D34080"/>
    <w:rsid w:val="36EE26AB"/>
    <w:rsid w:val="37F0752F"/>
    <w:rsid w:val="38407F09"/>
    <w:rsid w:val="38960554"/>
    <w:rsid w:val="38D70B59"/>
    <w:rsid w:val="3BB064FC"/>
    <w:rsid w:val="3BF04D81"/>
    <w:rsid w:val="3CAB20D8"/>
    <w:rsid w:val="3CD11E57"/>
    <w:rsid w:val="3D331750"/>
    <w:rsid w:val="3DF83E38"/>
    <w:rsid w:val="3E6D50FB"/>
    <w:rsid w:val="3EE5023D"/>
    <w:rsid w:val="3EE6437D"/>
    <w:rsid w:val="3F7D74B7"/>
    <w:rsid w:val="3F903F59"/>
    <w:rsid w:val="3FDC650D"/>
    <w:rsid w:val="400745C8"/>
    <w:rsid w:val="40D62F6B"/>
    <w:rsid w:val="41943621"/>
    <w:rsid w:val="41D5622D"/>
    <w:rsid w:val="41E8453E"/>
    <w:rsid w:val="420662CD"/>
    <w:rsid w:val="42117470"/>
    <w:rsid w:val="428247E7"/>
    <w:rsid w:val="43C348B8"/>
    <w:rsid w:val="43FF251E"/>
    <w:rsid w:val="454E5E7D"/>
    <w:rsid w:val="464C70B6"/>
    <w:rsid w:val="480D3F42"/>
    <w:rsid w:val="484165E2"/>
    <w:rsid w:val="48D94910"/>
    <w:rsid w:val="48E87129"/>
    <w:rsid w:val="499B0F04"/>
    <w:rsid w:val="49C81E6F"/>
    <w:rsid w:val="4A1B4023"/>
    <w:rsid w:val="4A1C41B3"/>
    <w:rsid w:val="4A267E35"/>
    <w:rsid w:val="4A5C030F"/>
    <w:rsid w:val="4B7D03E7"/>
    <w:rsid w:val="4BAB7C31"/>
    <w:rsid w:val="4C103BE6"/>
    <w:rsid w:val="4C816990"/>
    <w:rsid w:val="4D8E53C8"/>
    <w:rsid w:val="4E6B55B6"/>
    <w:rsid w:val="4EE01C53"/>
    <w:rsid w:val="4EEE7D8E"/>
    <w:rsid w:val="4F545534"/>
    <w:rsid w:val="4F5A4EBF"/>
    <w:rsid w:val="4FA03191"/>
    <w:rsid w:val="51192224"/>
    <w:rsid w:val="52A122EE"/>
    <w:rsid w:val="52EA734A"/>
    <w:rsid w:val="5445084F"/>
    <w:rsid w:val="54A808F4"/>
    <w:rsid w:val="54EC75A4"/>
    <w:rsid w:val="551A792E"/>
    <w:rsid w:val="55727FBD"/>
    <w:rsid w:val="55A61710"/>
    <w:rsid w:val="561220C4"/>
    <w:rsid w:val="56EB73E7"/>
    <w:rsid w:val="57AF2DEA"/>
    <w:rsid w:val="580B56D2"/>
    <w:rsid w:val="58553578"/>
    <w:rsid w:val="59516618"/>
    <w:rsid w:val="59893975"/>
    <w:rsid w:val="5C3830CF"/>
    <w:rsid w:val="5C6B7CDD"/>
    <w:rsid w:val="5CCB2480"/>
    <w:rsid w:val="5D4A529A"/>
    <w:rsid w:val="5E007347"/>
    <w:rsid w:val="5EB662D8"/>
    <w:rsid w:val="5FE11A5B"/>
    <w:rsid w:val="60363DC9"/>
    <w:rsid w:val="60F1769A"/>
    <w:rsid w:val="61D06D08"/>
    <w:rsid w:val="65907AD8"/>
    <w:rsid w:val="65C14135"/>
    <w:rsid w:val="65EC10C6"/>
    <w:rsid w:val="66157B18"/>
    <w:rsid w:val="6788375E"/>
    <w:rsid w:val="685D0E11"/>
    <w:rsid w:val="6A1878B3"/>
    <w:rsid w:val="6A2C5CCF"/>
    <w:rsid w:val="6A3377CC"/>
    <w:rsid w:val="6B2B0B08"/>
    <w:rsid w:val="6BA42B26"/>
    <w:rsid w:val="6D390E9C"/>
    <w:rsid w:val="6DA86A73"/>
    <w:rsid w:val="6E147427"/>
    <w:rsid w:val="6ED074FA"/>
    <w:rsid w:val="6F9B5FA9"/>
    <w:rsid w:val="6FE02B0A"/>
    <w:rsid w:val="71A74D85"/>
    <w:rsid w:val="71DD11C4"/>
    <w:rsid w:val="736175D9"/>
    <w:rsid w:val="738F4C25"/>
    <w:rsid w:val="73C93B06"/>
    <w:rsid w:val="741E6E0D"/>
    <w:rsid w:val="743B72F2"/>
    <w:rsid w:val="746A588D"/>
    <w:rsid w:val="74A76BEC"/>
    <w:rsid w:val="76A806FC"/>
    <w:rsid w:val="76B15747"/>
    <w:rsid w:val="76F93003"/>
    <w:rsid w:val="77040D55"/>
    <w:rsid w:val="77D82FAB"/>
    <w:rsid w:val="790B20A3"/>
    <w:rsid w:val="7915026D"/>
    <w:rsid w:val="79753CD1"/>
    <w:rsid w:val="799A6D1F"/>
    <w:rsid w:val="7B1F1B0E"/>
    <w:rsid w:val="7B825CBD"/>
    <w:rsid w:val="7C00467F"/>
    <w:rsid w:val="7C4E5B9F"/>
    <w:rsid w:val="7C904D16"/>
    <w:rsid w:val="7CE86B7B"/>
    <w:rsid w:val="7D5A5BB5"/>
    <w:rsid w:val="7D944A96"/>
    <w:rsid w:val="7DAF30C1"/>
    <w:rsid w:val="7E267FB6"/>
    <w:rsid w:val="7E381D20"/>
    <w:rsid w:val="7ED3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00" w:beforeLines="100" w:line="360" w:lineRule="auto"/>
      <w:ind w:firstLine="883"/>
      <w:outlineLvl w:val="0"/>
    </w:pPr>
    <w:rPr>
      <w:rFonts w:eastAsia="楷体"/>
      <w:b/>
      <w:bCs/>
      <w:kern w:val="44"/>
      <w:szCs w:val="44"/>
    </w:rPr>
  </w:style>
  <w:style w:type="paragraph" w:styleId="3">
    <w:name w:val="heading 2"/>
    <w:basedOn w:val="1"/>
    <w:next w:val="4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/>
    </w:pPr>
  </w:style>
  <w:style w:type="paragraph" w:styleId="5">
    <w:name w:val="Body Text"/>
    <w:basedOn w:val="1"/>
    <w:next w:val="1"/>
    <w:qFormat/>
    <w:uiPriority w:val="99"/>
    <w:pPr>
      <w:overflowPunct w:val="0"/>
      <w:autoSpaceDE w:val="0"/>
      <w:autoSpaceDN w:val="0"/>
    </w:pPr>
    <w:rPr>
      <w:color w:val="000000"/>
      <w:kern w:val="28"/>
      <w:szCs w:val="21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  <w:pPr>
      <w:tabs>
        <w:tab w:val="left" w:pos="1680"/>
        <w:tab w:val="right" w:leader="dot" w:pos="8296"/>
      </w:tabs>
      <w:spacing w:line="240" w:lineRule="auto"/>
      <w:ind w:firstLine="0" w:firstLineChars="0"/>
    </w:pPr>
    <w:rPr>
      <w:rFonts w:ascii="Courier New" w:hAnsi="Courier New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 w:val="44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rFonts w:eastAsia="楷体"/>
      <w:b/>
      <w:bCs/>
      <w:kern w:val="44"/>
      <w:sz w:val="32"/>
      <w:szCs w:val="44"/>
    </w:rPr>
  </w:style>
  <w:style w:type="character" w:customStyle="1" w:styleId="14">
    <w:name w:val="标题 字符"/>
    <w:basedOn w:val="12"/>
    <w:link w:val="9"/>
    <w:qFormat/>
    <w:uiPriority w:val="10"/>
    <w:rPr>
      <w:rFonts w:eastAsia="黑体" w:asciiTheme="majorHAnsi" w:hAnsiTheme="majorHAnsi" w:cstheme="majorBidi"/>
      <w:b/>
      <w:bCs/>
      <w:sz w:val="44"/>
      <w:szCs w:val="32"/>
    </w:rPr>
  </w:style>
  <w:style w:type="paragraph" w:styleId="15">
    <w:name w:val="List Paragraph"/>
    <w:basedOn w:val="1"/>
    <w:next w:val="1"/>
    <w:qFormat/>
    <w:uiPriority w:val="34"/>
    <w:pPr>
      <w:ind w:firstLine="420"/>
    </w:pPr>
  </w:style>
  <w:style w:type="character" w:customStyle="1" w:styleId="16">
    <w:name w:val="页眉 字符"/>
    <w:basedOn w:val="12"/>
    <w:link w:val="7"/>
    <w:qFormat/>
    <w:uiPriority w:val="99"/>
    <w:rPr>
      <w:rFonts w:eastAsia="华文仿宋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eastAsia="华文仿宋"/>
      <w:sz w:val="18"/>
      <w:szCs w:val="18"/>
    </w:r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1级"/>
    <w:basedOn w:val="2"/>
    <w:qFormat/>
    <w:uiPriority w:val="0"/>
    <w:pPr>
      <w:spacing w:before="340" w:beforeLines="0" w:after="330"/>
      <w:jc w:val="center"/>
    </w:pPr>
    <w:rPr>
      <w:rFonts w:eastAsia="宋体"/>
      <w:sz w:val="28"/>
      <w:szCs w:val="28"/>
    </w:rPr>
  </w:style>
  <w:style w:type="paragraph" w:customStyle="1" w:styleId="20">
    <w:name w:val="2级"/>
    <w:basedOn w:val="3"/>
    <w:qFormat/>
    <w:uiPriority w:val="0"/>
    <w:pPr>
      <w:spacing w:before="100" w:beforeAutospacing="1" w:line="415" w:lineRule="auto"/>
      <w:jc w:val="center"/>
    </w:pPr>
    <w:rPr>
      <w:rFonts w:ascii="Times New Roman" w:hAnsi="Times New Roman" w:eastAsia="宋体"/>
      <w:sz w:val="24"/>
      <w:szCs w:val="24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0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openxmlformats.org/officeDocument/2006/relationships/footnotes" Target="footnotes.xml"/><Relationship Id="rId7" Type="http://schemas.openxmlformats.org/officeDocument/2006/relationships/header" Target="header3.xml"/><Relationship Id="rId12" Type="http://schemas.openxmlformats.org/officeDocument/2006/relationships/footer" Target="footer4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1" Type="http://schemas.openxmlformats.org/officeDocument/2006/relationships/styles" Target="styles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4" Type="http://schemas.openxmlformats.org/officeDocument/2006/relationships/endnotes" Target="endnotes.xm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777D2F-A93C-4D18-B59A-0538D7811596}"/>
</file>

<file path=customXml/itemProps2.xml><?xml version="1.0" encoding="utf-8"?>
<ds:datastoreItem xmlns:ds="http://schemas.openxmlformats.org/officeDocument/2006/customXml" ds:itemID="{C629AA79-3830-4071-9E3C-68852EFE8044}"/>
</file>

<file path=customXml/itemProps3.xml><?xml version="1.0" encoding="utf-8"?>
<ds:datastoreItem xmlns:ds="http://schemas.openxmlformats.org/officeDocument/2006/customXml" ds:itemID="{4D676BA9-60D1-4EDD-A839-F20E716C8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1264</Words>
  <Characters>7210</Characters>
  <Lines>60</Lines>
  <Paragraphs>16</Paragraphs>
  <TotalTime>1</TotalTime>
  <ScaleCrop>false</ScaleCrop>
  <LinksUpToDate>false</LinksUpToDate>
  <CharactersWithSpaces>8458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邵江华</dc:creator>
  <cp:lastModifiedBy>wps</cp:lastModifiedBy>
  <cp:revision>2</cp:revision>
  <dcterms:created xsi:type="dcterms:W3CDTF">2025-07-21T07:38:00Z</dcterms:created>
  <dcterms:modified xsi:type="dcterms:W3CDTF">2025-08-04T02:26:01Z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6541564C1A554377B6D8D71D20BF3C93_13</vt:lpwstr>
  </property>
  <property fmtid="{D5CDD505-2E9C-101B-9397-08002B2CF9AE}" pid="4" name="ContentTypeId">
    <vt:lpwstr>0x010100313989E510CC474A862876A387D6F14A</vt:lpwstr>
  </property>
</Properties>
</file>