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18F5C">
      <w:pPr>
        <w:tabs>
          <w:tab w:val="left" w:pos="594"/>
        </w:tabs>
        <w:adjustRightInd w:val="0"/>
        <w:snapToGrid w:val="0"/>
        <w:spacing w:line="560" w:lineRule="exact"/>
        <w:jc w:val="center"/>
        <w:rPr>
          <w:rFonts w:hint="eastAsia"/>
        </w:rPr>
      </w:pPr>
      <w:bookmarkStart w:id="0" w:name="_Toc10205"/>
      <w:bookmarkStart w:id="1" w:name="_Toc22568"/>
      <w:r>
        <w:rPr>
          <w:rFonts w:hint="eastAsia"/>
          <w:b/>
          <w:bCs/>
        </w:rPr>
        <w:t>污染物处理方案</w:t>
      </w:r>
      <w:bookmarkEnd w:id="0"/>
      <w:bookmarkEnd w:id="1"/>
    </w:p>
    <w:p w14:paraId="01CDEA30">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2" w:name="_Toc31561"/>
      <w:bookmarkStart w:id="3" w:name="_Toc28618"/>
      <w:r>
        <w:rPr>
          <w:rFonts w:hint="eastAsia" w:cs="仿宋"/>
          <w:b/>
          <w:bCs/>
          <w:sz w:val="32"/>
          <w:szCs w:val="32"/>
        </w:rPr>
        <w:t>1.目的</w:t>
      </w:r>
      <w:bookmarkEnd w:id="2"/>
      <w:bookmarkEnd w:id="3"/>
    </w:p>
    <w:p w14:paraId="3C671422">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根据本单位的船舶污染事故应急的需要，确保在船舶污染事故应急中防止二次污染，及时有效地处理好船舶污染事故中回收到的污染物，特制定本方案。</w:t>
      </w:r>
    </w:p>
    <w:p w14:paraId="5FD05ED5">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4" w:name="_Toc28621"/>
      <w:bookmarkStart w:id="5" w:name="_Toc12846"/>
      <w:r>
        <w:rPr>
          <w:rFonts w:hint="eastAsia" w:cs="仿宋"/>
          <w:b/>
          <w:bCs/>
          <w:sz w:val="32"/>
          <w:szCs w:val="32"/>
        </w:rPr>
        <w:t>2.适用范围</w:t>
      </w:r>
      <w:bookmarkEnd w:id="4"/>
      <w:bookmarkEnd w:id="5"/>
    </w:p>
    <w:p w14:paraId="2011AE86">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适用于船舶中心在船舶污染事故应急处置行动中，合法、有效地处理回收到的污染物的活动。</w:t>
      </w:r>
    </w:p>
    <w:p w14:paraId="4BBAE1EB">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方案作为中心开展船舶污染应急行动的指导性文件。</w:t>
      </w:r>
    </w:p>
    <w:p w14:paraId="588E87F2">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6" w:name="_Toc27518"/>
      <w:bookmarkStart w:id="7" w:name="_Toc28083"/>
      <w:r>
        <w:rPr>
          <w:rFonts w:hint="eastAsia" w:cs="仿宋"/>
          <w:b/>
          <w:bCs/>
          <w:sz w:val="32"/>
          <w:szCs w:val="32"/>
        </w:rPr>
        <w:t>3.编制依据</w:t>
      </w:r>
      <w:bookmarkEnd w:id="6"/>
      <w:bookmarkEnd w:id="7"/>
    </w:p>
    <w:p w14:paraId="3EA64A5B">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《中华人民共和国海洋环境保护法》</w:t>
      </w:r>
    </w:p>
    <w:p w14:paraId="0B9F8278">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《中华人民共和国海上交通安全法》</w:t>
      </w:r>
    </w:p>
    <w:p w14:paraId="065C9441">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《中华人民共和国安全生产法》</w:t>
      </w:r>
    </w:p>
    <w:p w14:paraId="47F654AD">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《中华人民共和国港口法》</w:t>
      </w:r>
    </w:p>
    <w:p w14:paraId="13C77355">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《中华人民共和国防治船舶污染海洋环境管理条例》</w:t>
      </w:r>
    </w:p>
    <w:p w14:paraId="0A8B55B9">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《中华人民共和国船舶及其有关作业活动污染海洋环境防治管理规定》</w:t>
      </w:r>
    </w:p>
    <w:p w14:paraId="43E8C153">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《中华人民共和国船舶污染海洋环境应急防备和应急处置管理规定》</w:t>
      </w:r>
    </w:p>
    <w:p w14:paraId="41881DFC">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《中国海上船舶溢油应急计划》</w:t>
      </w:r>
    </w:p>
    <w:p w14:paraId="4511C8B7">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《1992年国际油污损害民事责任公约》</w:t>
      </w:r>
    </w:p>
    <w:p w14:paraId="2544D972">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《1990年国际油污防备、反应和合作公约》</w:t>
      </w:r>
    </w:p>
    <w:p w14:paraId="460879C8">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《国际船舶安全营运和防止污染管理规则》</w:t>
      </w:r>
    </w:p>
    <w:p w14:paraId="3E9566FB">
      <w:pPr>
        <w:pStyle w:val="2"/>
        <w:widowControl/>
        <w:adjustRightInd w:val="0"/>
        <w:snapToGrid w:val="0"/>
        <w:spacing w:before="0" w:beforeAutospacing="0" w:after="0" w:afterAutospacing="0" w:line="500" w:lineRule="exact"/>
        <w:ind w:firstLine="420"/>
        <w:rPr>
          <w:rFonts w:hint="eastAsia" w:cs="仿宋"/>
          <w:sz w:val="32"/>
          <w:szCs w:val="32"/>
        </w:rPr>
      </w:pPr>
      <w:r>
        <w:rPr>
          <w:rFonts w:hint="eastAsia" w:cs="仿宋"/>
          <w:sz w:val="32"/>
          <w:szCs w:val="32"/>
        </w:rPr>
        <w:t>《经1978年议定书修订的1973年国际防止船舶造成污染公约》</w:t>
      </w:r>
    </w:p>
    <w:p w14:paraId="5A841C43">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8" w:name="_Toc32631"/>
      <w:bookmarkStart w:id="9" w:name="_Toc2543"/>
      <w:r>
        <w:rPr>
          <w:rFonts w:hint="eastAsia" w:cs="仿宋"/>
          <w:b/>
          <w:bCs/>
          <w:sz w:val="32"/>
          <w:szCs w:val="32"/>
        </w:rPr>
        <w:t>4.污染物处理策略描述</w:t>
      </w:r>
      <w:bookmarkEnd w:id="8"/>
      <w:bookmarkEnd w:id="9"/>
    </w:p>
    <w:p w14:paraId="2C0A6429">
      <w:pPr>
        <w:tabs>
          <w:tab w:val="left" w:pos="594"/>
        </w:tabs>
        <w:adjustRightInd w:val="0"/>
        <w:snapToGrid w:val="0"/>
        <w:spacing w:line="500" w:lineRule="exact"/>
        <w:rPr>
          <w:rFonts w:hint="eastAsia" w:cs="仿宋"/>
          <w:szCs w:val="32"/>
        </w:rPr>
      </w:pPr>
      <w:r>
        <w:rPr>
          <w:rFonts w:hint="eastAsia" w:cs="仿宋"/>
          <w:szCs w:val="32"/>
        </w:rPr>
        <w:t xml:space="preserve">    处置溢油及危险化学品的突发性环境污染事故的一条基本原则就是将剧毒、有毒、有害的油污、危险化学品尽可能处理成无毒、无害或毒性较低、危害较小的物质，避免造成二次污染，尽量减少和降低泄漏事故所造成的危害的损失。可通过物理的（如回收、收集、吸附）、化学的（如中和反应、氧化还原反应、沉淀）等多种方法，进行处置。在可能的情况下，用于处置的物质应易得、低廉、低毒、不造成二次污染，或易于消除。</w:t>
      </w:r>
    </w:p>
    <w:p w14:paraId="38B19F4A">
      <w:pPr>
        <w:tabs>
          <w:tab w:val="left" w:pos="594"/>
        </w:tabs>
        <w:adjustRightInd w:val="0"/>
        <w:snapToGrid w:val="0"/>
        <w:spacing w:line="500" w:lineRule="exact"/>
        <w:rPr>
          <w:rFonts w:hint="eastAsia" w:cs="仿宋"/>
          <w:szCs w:val="32"/>
        </w:rPr>
      </w:pPr>
      <w:r>
        <w:rPr>
          <w:rFonts w:hint="eastAsia" w:cs="仿宋"/>
          <w:szCs w:val="32"/>
        </w:rPr>
        <w:t xml:space="preserve">    当污染发生时，应当立即按照制定的防止污染应急预案，开展污染控制和清除作业，采取消除或减轻污染损害的措施，并及时向海事管理机构报告清污进展情况。就溢油回收专业来说，需要处理的污染物主要指油类、油性混合物、含油污水以及回收过程中产生的含油废弃物。污染物处理应包括污染物临时储存、污染物运输、清污船舶、设施、设备和器材清洗污染物送岸处理等方面内容。在污染物的临时储存、运输过程中要加强污染物的控制及管理，应安排专人负责，防止污染物的遗失造成污染。为满足和符合服务区域环境保护要求，回收到的液态、固态污染物均需送往有环保资质的污染物处理协议单位进行无害化处置。目前我单位与烟台龙门润滑油科技有限公司签订了《污染物处理协议》，可进行无害化处理，满足环保要求。</w:t>
      </w:r>
    </w:p>
    <w:p w14:paraId="3A504BD5">
      <w:pPr>
        <w:spacing w:line="500" w:lineRule="exact"/>
        <w:ind w:firstLine="640" w:firstLineChars="200"/>
        <w:rPr>
          <w:rFonts w:hint="eastAsia"/>
        </w:rPr>
      </w:pPr>
      <w:r>
        <w:rPr>
          <w:rFonts w:hint="eastAsia"/>
        </w:rPr>
        <w:t>4.1油及沾油废弃物的分离和处置方法</w:t>
      </w:r>
    </w:p>
    <w:tbl>
      <w:tblPr>
        <w:tblStyle w:val="3"/>
        <w:tblW w:w="5000" w:type="pct"/>
        <w:tblInd w:w="135" w:type="dxa"/>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autofit"/>
        <w:tblCellMar>
          <w:top w:w="15" w:type="dxa"/>
          <w:left w:w="15" w:type="dxa"/>
          <w:bottom w:w="15" w:type="dxa"/>
          <w:right w:w="15" w:type="dxa"/>
        </w:tblCellMar>
      </w:tblPr>
      <w:tblGrid>
        <w:gridCol w:w="583"/>
        <w:gridCol w:w="1686"/>
        <w:gridCol w:w="3213"/>
        <w:gridCol w:w="3040"/>
      </w:tblGrid>
      <w:tr w14:paraId="0973CFB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trHeight w:val="462" w:hRule="atLeast"/>
        </w:trPr>
        <w:tc>
          <w:tcPr>
            <w:tcW w:w="2346" w:type="dxa"/>
            <w:gridSpan w:val="2"/>
            <w:noWrap w:val="0"/>
            <w:tcMar>
              <w:top w:w="0" w:type="dxa"/>
              <w:left w:w="108" w:type="dxa"/>
              <w:bottom w:w="0" w:type="dxa"/>
              <w:right w:w="108" w:type="dxa"/>
            </w:tcMar>
            <w:vAlign w:val="center"/>
          </w:tcPr>
          <w:p w14:paraId="0D48B1DE">
            <w:pPr>
              <w:pStyle w:val="2"/>
              <w:widowControl/>
              <w:adjustRightInd w:val="0"/>
              <w:snapToGrid w:val="0"/>
              <w:spacing w:before="0" w:beforeAutospacing="0" w:after="0" w:afterAutospacing="0"/>
              <w:jc w:val="center"/>
              <w:rPr>
                <w:rFonts w:hint="eastAsia" w:cs="仿宋"/>
              </w:rPr>
            </w:pPr>
            <w:r>
              <w:rPr>
                <w:rFonts w:hint="eastAsia" w:cs="仿宋"/>
                <w:color w:val="000000"/>
              </w:rPr>
              <w:t>类 型</w:t>
            </w:r>
          </w:p>
        </w:tc>
        <w:tc>
          <w:tcPr>
            <w:tcW w:w="3385" w:type="dxa"/>
            <w:noWrap w:val="0"/>
            <w:tcMar>
              <w:top w:w="0" w:type="dxa"/>
              <w:left w:w="108" w:type="dxa"/>
              <w:bottom w:w="0" w:type="dxa"/>
              <w:right w:w="108" w:type="dxa"/>
            </w:tcMar>
            <w:vAlign w:val="center"/>
          </w:tcPr>
          <w:p w14:paraId="35F49DA8">
            <w:pPr>
              <w:pStyle w:val="2"/>
              <w:widowControl/>
              <w:adjustRightInd w:val="0"/>
              <w:snapToGrid w:val="0"/>
              <w:spacing w:before="0" w:beforeAutospacing="0" w:after="0" w:afterAutospacing="0"/>
              <w:jc w:val="center"/>
              <w:rPr>
                <w:rFonts w:hint="eastAsia" w:cs="仿宋"/>
              </w:rPr>
            </w:pPr>
            <w:r>
              <w:rPr>
                <w:rFonts w:hint="eastAsia" w:cs="仿宋"/>
                <w:color w:val="000000"/>
              </w:rPr>
              <w:t>分离方法</w:t>
            </w:r>
          </w:p>
        </w:tc>
        <w:tc>
          <w:tcPr>
            <w:tcW w:w="3217" w:type="dxa"/>
            <w:noWrap w:val="0"/>
            <w:tcMar>
              <w:top w:w="0" w:type="dxa"/>
              <w:left w:w="108" w:type="dxa"/>
              <w:bottom w:w="0" w:type="dxa"/>
              <w:right w:w="108" w:type="dxa"/>
            </w:tcMar>
            <w:vAlign w:val="center"/>
          </w:tcPr>
          <w:p w14:paraId="2C4B1BF1">
            <w:pPr>
              <w:pStyle w:val="2"/>
              <w:widowControl/>
              <w:adjustRightInd w:val="0"/>
              <w:snapToGrid w:val="0"/>
              <w:spacing w:before="0" w:beforeAutospacing="0" w:after="0" w:afterAutospacing="0"/>
              <w:jc w:val="center"/>
              <w:rPr>
                <w:rFonts w:hint="eastAsia" w:cs="仿宋"/>
              </w:rPr>
            </w:pPr>
            <w:r>
              <w:rPr>
                <w:rFonts w:hint="eastAsia" w:cs="仿宋"/>
                <w:color w:val="000000"/>
              </w:rPr>
              <w:t>处置方法</w:t>
            </w:r>
          </w:p>
        </w:tc>
      </w:tr>
      <w:tr w14:paraId="401415D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437" w:hRule="atLeast"/>
        </w:trPr>
        <w:tc>
          <w:tcPr>
            <w:tcW w:w="592" w:type="dxa"/>
            <w:vMerge w:val="restart"/>
            <w:noWrap w:val="0"/>
            <w:tcMar>
              <w:top w:w="0" w:type="dxa"/>
              <w:left w:w="108" w:type="dxa"/>
              <w:bottom w:w="0" w:type="dxa"/>
              <w:right w:w="108" w:type="dxa"/>
            </w:tcMar>
            <w:vAlign w:val="center"/>
          </w:tcPr>
          <w:p w14:paraId="479C24BF">
            <w:pPr>
              <w:pStyle w:val="2"/>
              <w:widowControl/>
              <w:adjustRightInd w:val="0"/>
              <w:snapToGrid w:val="0"/>
              <w:spacing w:before="0" w:beforeAutospacing="0" w:after="0" w:afterAutospacing="0"/>
              <w:rPr>
                <w:rFonts w:hint="eastAsia" w:cs="仿宋"/>
                <w:color w:val="000000"/>
              </w:rPr>
            </w:pPr>
            <w:r>
              <w:rPr>
                <w:rFonts w:hint="eastAsia" w:cs="仿宋"/>
                <w:color w:val="000000"/>
              </w:rPr>
              <w:t>液态</w:t>
            </w:r>
          </w:p>
          <w:p w14:paraId="671EECCE">
            <w:pPr>
              <w:pStyle w:val="2"/>
              <w:widowControl/>
              <w:adjustRightInd w:val="0"/>
              <w:snapToGrid w:val="0"/>
              <w:spacing w:before="0" w:beforeAutospacing="0" w:after="0" w:afterAutospacing="0"/>
              <w:rPr>
                <w:rFonts w:hint="eastAsia" w:cs="仿宋"/>
              </w:rPr>
            </w:pPr>
            <w:r>
              <w:rPr>
                <w:rFonts w:hint="eastAsia" w:cs="仿宋"/>
              </w:rPr>
              <w:t> </w:t>
            </w:r>
          </w:p>
        </w:tc>
        <w:tc>
          <w:tcPr>
            <w:tcW w:w="1754" w:type="dxa"/>
            <w:noWrap w:val="0"/>
            <w:tcMar>
              <w:top w:w="0" w:type="dxa"/>
              <w:left w:w="108" w:type="dxa"/>
              <w:bottom w:w="0" w:type="dxa"/>
              <w:right w:w="108" w:type="dxa"/>
            </w:tcMar>
            <w:vAlign w:val="center"/>
          </w:tcPr>
          <w:p w14:paraId="1607A79D">
            <w:pPr>
              <w:pStyle w:val="2"/>
              <w:widowControl/>
              <w:adjustRightInd w:val="0"/>
              <w:snapToGrid w:val="0"/>
              <w:spacing w:before="0" w:beforeAutospacing="0" w:after="0" w:afterAutospacing="0"/>
              <w:jc w:val="center"/>
              <w:rPr>
                <w:rFonts w:hint="eastAsia" w:cs="仿宋"/>
              </w:rPr>
            </w:pPr>
            <w:r>
              <w:rPr>
                <w:rFonts w:hint="eastAsia" w:cs="仿宋"/>
                <w:color w:val="000000"/>
              </w:rPr>
              <w:t>非乳化油</w:t>
            </w:r>
          </w:p>
        </w:tc>
        <w:tc>
          <w:tcPr>
            <w:tcW w:w="3385" w:type="dxa"/>
            <w:noWrap w:val="0"/>
            <w:tcMar>
              <w:top w:w="0" w:type="dxa"/>
              <w:left w:w="108" w:type="dxa"/>
              <w:bottom w:w="0" w:type="dxa"/>
              <w:right w:w="108" w:type="dxa"/>
            </w:tcMar>
            <w:vAlign w:val="center"/>
          </w:tcPr>
          <w:p w14:paraId="606C267C">
            <w:pPr>
              <w:pStyle w:val="2"/>
              <w:widowControl/>
              <w:adjustRightInd w:val="0"/>
              <w:snapToGrid w:val="0"/>
              <w:spacing w:before="0" w:beforeAutospacing="0" w:after="0" w:afterAutospacing="0"/>
              <w:jc w:val="both"/>
              <w:rPr>
                <w:rFonts w:hint="eastAsia" w:cs="仿宋"/>
              </w:rPr>
            </w:pPr>
            <w:r>
              <w:rPr>
                <w:rFonts w:hint="eastAsia" w:cs="仿宋"/>
                <w:color w:val="000000"/>
              </w:rPr>
              <w:t>重力法分离出水分</w:t>
            </w:r>
          </w:p>
        </w:tc>
        <w:tc>
          <w:tcPr>
            <w:tcW w:w="3217" w:type="dxa"/>
            <w:noWrap w:val="0"/>
            <w:tcMar>
              <w:top w:w="0" w:type="dxa"/>
              <w:left w:w="108" w:type="dxa"/>
              <w:bottom w:w="0" w:type="dxa"/>
              <w:right w:w="108" w:type="dxa"/>
            </w:tcMar>
            <w:vAlign w:val="center"/>
          </w:tcPr>
          <w:p w14:paraId="5038A5B0">
            <w:pPr>
              <w:pStyle w:val="2"/>
              <w:widowControl/>
              <w:adjustRightInd w:val="0"/>
              <w:snapToGrid w:val="0"/>
              <w:spacing w:before="0" w:beforeAutospacing="0" w:after="0" w:afterAutospacing="0"/>
              <w:jc w:val="both"/>
              <w:rPr>
                <w:rFonts w:hint="eastAsia" w:cs="仿宋"/>
              </w:rPr>
            </w:pPr>
            <w:r>
              <w:rPr>
                <w:rFonts w:hint="eastAsia" w:cs="仿宋"/>
                <w:color w:val="000000"/>
              </w:rPr>
              <w:t>作为燃料油或送炼油厂</w:t>
            </w:r>
          </w:p>
        </w:tc>
      </w:tr>
      <w:tr w14:paraId="5D8B504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01B9F74A">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32D640B5">
            <w:pPr>
              <w:pStyle w:val="2"/>
              <w:widowControl/>
              <w:adjustRightInd w:val="0"/>
              <w:snapToGrid w:val="0"/>
              <w:spacing w:before="0" w:beforeAutospacing="0" w:after="0" w:afterAutospacing="0"/>
              <w:jc w:val="center"/>
              <w:rPr>
                <w:rFonts w:hint="eastAsia" w:cs="仿宋"/>
              </w:rPr>
            </w:pPr>
            <w:r>
              <w:rPr>
                <w:rFonts w:hint="eastAsia" w:cs="仿宋"/>
                <w:color w:val="000000"/>
              </w:rPr>
              <w:t>乳化油</w:t>
            </w:r>
          </w:p>
        </w:tc>
        <w:tc>
          <w:tcPr>
            <w:tcW w:w="3385" w:type="dxa"/>
            <w:noWrap w:val="0"/>
            <w:tcMar>
              <w:top w:w="0" w:type="dxa"/>
              <w:left w:w="108" w:type="dxa"/>
              <w:bottom w:w="0" w:type="dxa"/>
              <w:right w:w="108" w:type="dxa"/>
            </w:tcMar>
            <w:vAlign w:val="center"/>
          </w:tcPr>
          <w:p w14:paraId="2ED506B5">
            <w:pPr>
              <w:pStyle w:val="2"/>
              <w:widowControl/>
              <w:adjustRightInd w:val="0"/>
              <w:snapToGrid w:val="0"/>
              <w:spacing w:before="0" w:beforeAutospacing="0" w:after="0" w:afterAutospacing="0"/>
              <w:jc w:val="both"/>
              <w:rPr>
                <w:rFonts w:hint="eastAsia" w:cs="仿宋"/>
              </w:rPr>
            </w:pPr>
            <w:r>
              <w:rPr>
                <w:rFonts w:hint="eastAsia" w:cs="仿宋"/>
                <w:color w:val="000000"/>
              </w:rPr>
              <w:t>破乳并分离出水</w:t>
            </w:r>
          </w:p>
          <w:p w14:paraId="7B61C092">
            <w:pPr>
              <w:pStyle w:val="2"/>
              <w:widowControl/>
              <w:adjustRightInd w:val="0"/>
              <w:snapToGrid w:val="0"/>
              <w:spacing w:before="0" w:beforeAutospacing="0" w:after="0" w:afterAutospacing="0"/>
              <w:jc w:val="both"/>
              <w:rPr>
                <w:rFonts w:hint="eastAsia" w:cs="仿宋"/>
              </w:rPr>
            </w:pPr>
            <w:r>
              <w:rPr>
                <w:rFonts w:hint="eastAsia" w:cs="仿宋"/>
                <w:color w:val="000000"/>
              </w:rPr>
              <w:t>热处理方法</w:t>
            </w:r>
          </w:p>
          <w:p w14:paraId="6E993F89">
            <w:pPr>
              <w:pStyle w:val="2"/>
              <w:widowControl/>
              <w:adjustRightInd w:val="0"/>
              <w:snapToGrid w:val="0"/>
              <w:spacing w:before="0" w:beforeAutospacing="0" w:after="0" w:afterAutospacing="0"/>
              <w:jc w:val="both"/>
              <w:rPr>
                <w:rFonts w:hint="eastAsia" w:cs="仿宋"/>
              </w:rPr>
            </w:pPr>
            <w:r>
              <w:rPr>
                <w:rFonts w:hint="eastAsia" w:cs="仿宋"/>
                <w:color w:val="000000"/>
              </w:rPr>
              <w:t>化学破乳剂</w:t>
            </w:r>
          </w:p>
          <w:p w14:paraId="2D938AE1">
            <w:pPr>
              <w:pStyle w:val="2"/>
              <w:widowControl/>
              <w:adjustRightInd w:val="0"/>
              <w:snapToGrid w:val="0"/>
              <w:spacing w:before="0" w:beforeAutospacing="0" w:after="0" w:afterAutospacing="0"/>
              <w:jc w:val="both"/>
              <w:rPr>
                <w:rFonts w:hint="eastAsia" w:cs="仿宋"/>
              </w:rPr>
            </w:pPr>
            <w:r>
              <w:rPr>
                <w:rFonts w:hint="eastAsia" w:cs="仿宋"/>
                <w:color w:val="000000"/>
              </w:rPr>
              <w:t>掺沙子</w:t>
            </w:r>
          </w:p>
        </w:tc>
        <w:tc>
          <w:tcPr>
            <w:tcW w:w="3217" w:type="dxa"/>
            <w:noWrap w:val="0"/>
            <w:tcMar>
              <w:top w:w="0" w:type="dxa"/>
              <w:left w:w="108" w:type="dxa"/>
              <w:bottom w:w="0" w:type="dxa"/>
              <w:right w:w="108" w:type="dxa"/>
            </w:tcMar>
            <w:vAlign w:val="center"/>
          </w:tcPr>
          <w:p w14:paraId="6861062E">
            <w:pPr>
              <w:pStyle w:val="2"/>
              <w:widowControl/>
              <w:adjustRightInd w:val="0"/>
              <w:snapToGrid w:val="0"/>
              <w:spacing w:before="0" w:beforeAutospacing="0" w:after="0" w:afterAutospacing="0"/>
              <w:jc w:val="both"/>
              <w:rPr>
                <w:rFonts w:hint="eastAsia" w:cs="仿宋"/>
              </w:rPr>
            </w:pPr>
            <w:r>
              <w:rPr>
                <w:rFonts w:hint="eastAsia" w:cs="仿宋"/>
                <w:color w:val="000000"/>
              </w:rPr>
              <w:t>作为燃料油或送到炼油厂烧掉</w:t>
            </w:r>
          </w:p>
          <w:p w14:paraId="29F30FE4">
            <w:pPr>
              <w:pStyle w:val="2"/>
              <w:widowControl/>
              <w:adjustRightInd w:val="0"/>
              <w:snapToGrid w:val="0"/>
              <w:spacing w:before="0" w:beforeAutospacing="0" w:after="0" w:afterAutospacing="0"/>
              <w:jc w:val="both"/>
              <w:rPr>
                <w:rFonts w:hint="eastAsia" w:cs="仿宋"/>
              </w:rPr>
            </w:pPr>
            <w:r>
              <w:rPr>
                <w:rFonts w:hint="eastAsia" w:cs="仿宋"/>
                <w:color w:val="000000"/>
              </w:rPr>
              <w:t>将分离的沙子送到原处</w:t>
            </w:r>
          </w:p>
        </w:tc>
      </w:tr>
      <w:tr w14:paraId="2972B5C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130" w:hRule="atLeast"/>
        </w:trPr>
        <w:tc>
          <w:tcPr>
            <w:tcW w:w="592" w:type="dxa"/>
            <w:vMerge w:val="restart"/>
            <w:noWrap w:val="0"/>
            <w:tcMar>
              <w:top w:w="0" w:type="dxa"/>
              <w:left w:w="108" w:type="dxa"/>
              <w:bottom w:w="0" w:type="dxa"/>
              <w:right w:w="108" w:type="dxa"/>
            </w:tcMar>
            <w:vAlign w:val="center"/>
          </w:tcPr>
          <w:p w14:paraId="4EF65DEB">
            <w:pPr>
              <w:pStyle w:val="2"/>
              <w:widowControl/>
              <w:adjustRightInd w:val="0"/>
              <w:snapToGrid w:val="0"/>
              <w:spacing w:before="0" w:beforeAutospacing="0" w:after="0" w:afterAutospacing="0"/>
              <w:rPr>
                <w:rFonts w:hint="eastAsia" w:cs="仿宋"/>
                <w:color w:val="000000"/>
              </w:rPr>
            </w:pPr>
            <w:r>
              <w:rPr>
                <w:rFonts w:hint="eastAsia" w:cs="仿宋"/>
                <w:color w:val="000000"/>
              </w:rPr>
              <w:t>固态</w:t>
            </w:r>
          </w:p>
          <w:p w14:paraId="16896801">
            <w:pPr>
              <w:pStyle w:val="2"/>
              <w:widowControl/>
              <w:adjustRightInd w:val="0"/>
              <w:snapToGrid w:val="0"/>
              <w:spacing w:before="0" w:beforeAutospacing="0" w:after="0" w:afterAutospacing="0"/>
              <w:rPr>
                <w:rFonts w:hint="eastAsia" w:cs="仿宋"/>
              </w:rPr>
            </w:pPr>
            <w:r>
              <w:rPr>
                <w:rFonts w:hint="eastAsia" w:cs="仿宋"/>
              </w:rPr>
              <w:t> </w:t>
            </w:r>
          </w:p>
          <w:p w14:paraId="12A502D0">
            <w:pPr>
              <w:pStyle w:val="2"/>
              <w:widowControl/>
              <w:adjustRightInd w:val="0"/>
              <w:snapToGrid w:val="0"/>
              <w:spacing w:before="0" w:beforeAutospacing="0" w:after="0" w:afterAutospacing="0"/>
              <w:rPr>
                <w:rFonts w:hint="eastAsia" w:cs="仿宋"/>
              </w:rPr>
            </w:pPr>
            <w:r>
              <w:rPr>
                <w:rFonts w:hint="eastAsia" w:cs="仿宋"/>
              </w:rPr>
              <w:t> </w:t>
            </w:r>
          </w:p>
          <w:p w14:paraId="3EE796A0">
            <w:pPr>
              <w:pStyle w:val="2"/>
              <w:widowControl/>
              <w:adjustRightInd w:val="0"/>
              <w:snapToGrid w:val="0"/>
              <w:spacing w:before="0" w:beforeAutospacing="0" w:after="0" w:afterAutospacing="0"/>
              <w:rPr>
                <w:rFonts w:hint="eastAsia" w:cs="仿宋"/>
              </w:rPr>
            </w:pPr>
            <w:r>
              <w:rPr>
                <w:rFonts w:hint="eastAsia" w:cs="仿宋"/>
              </w:rPr>
              <w:t> </w:t>
            </w:r>
          </w:p>
        </w:tc>
        <w:tc>
          <w:tcPr>
            <w:tcW w:w="1754" w:type="dxa"/>
            <w:noWrap w:val="0"/>
            <w:tcMar>
              <w:top w:w="0" w:type="dxa"/>
              <w:left w:w="108" w:type="dxa"/>
              <w:bottom w:w="0" w:type="dxa"/>
              <w:right w:w="108" w:type="dxa"/>
            </w:tcMar>
            <w:vAlign w:val="center"/>
          </w:tcPr>
          <w:p w14:paraId="2162BA9E">
            <w:pPr>
              <w:pStyle w:val="2"/>
              <w:widowControl/>
              <w:adjustRightInd w:val="0"/>
              <w:snapToGrid w:val="0"/>
              <w:spacing w:before="0" w:beforeAutospacing="0" w:after="0" w:afterAutospacing="0"/>
              <w:jc w:val="center"/>
              <w:rPr>
                <w:rFonts w:hint="eastAsia" w:cs="仿宋"/>
              </w:rPr>
            </w:pPr>
            <w:r>
              <w:rPr>
                <w:rFonts w:hint="eastAsia" w:cs="仿宋"/>
                <w:color w:val="000000"/>
              </w:rPr>
              <w:t>混沙油</w:t>
            </w:r>
          </w:p>
        </w:tc>
        <w:tc>
          <w:tcPr>
            <w:tcW w:w="3385" w:type="dxa"/>
            <w:noWrap w:val="0"/>
            <w:tcMar>
              <w:top w:w="0" w:type="dxa"/>
              <w:left w:w="108" w:type="dxa"/>
              <w:bottom w:w="0" w:type="dxa"/>
              <w:right w:w="108" w:type="dxa"/>
            </w:tcMar>
            <w:vAlign w:val="center"/>
          </w:tcPr>
          <w:p w14:paraId="5757DBBB">
            <w:pPr>
              <w:pStyle w:val="2"/>
              <w:widowControl/>
              <w:adjustRightInd w:val="0"/>
              <w:snapToGrid w:val="0"/>
              <w:spacing w:before="0" w:beforeAutospacing="0" w:after="0" w:afterAutospacing="0"/>
              <w:jc w:val="both"/>
              <w:rPr>
                <w:rFonts w:hint="eastAsia" w:cs="仿宋"/>
              </w:rPr>
            </w:pPr>
            <w:r>
              <w:rPr>
                <w:rFonts w:hint="eastAsia" w:cs="仿宋"/>
                <w:color w:val="000000"/>
              </w:rPr>
              <w:t>短期储存利用沉淀效应将油从沙子中滤出</w:t>
            </w:r>
          </w:p>
          <w:p w14:paraId="5865D058">
            <w:pPr>
              <w:pStyle w:val="2"/>
              <w:widowControl/>
              <w:adjustRightInd w:val="0"/>
              <w:snapToGrid w:val="0"/>
              <w:spacing w:before="0" w:beforeAutospacing="0" w:after="0" w:afterAutospacing="0"/>
              <w:jc w:val="both"/>
              <w:rPr>
                <w:rFonts w:hint="eastAsia" w:cs="仿宋"/>
              </w:rPr>
            </w:pPr>
            <w:r>
              <w:rPr>
                <w:rFonts w:hint="eastAsia" w:cs="仿宋"/>
                <w:color w:val="000000"/>
              </w:rPr>
              <w:t>用水或溶剂从沙子中提取油</w:t>
            </w:r>
          </w:p>
          <w:p w14:paraId="02FCB57F">
            <w:pPr>
              <w:pStyle w:val="2"/>
              <w:widowControl/>
              <w:adjustRightInd w:val="0"/>
              <w:snapToGrid w:val="0"/>
              <w:spacing w:before="0" w:beforeAutospacing="0" w:after="0" w:afterAutospacing="0"/>
              <w:jc w:val="both"/>
              <w:rPr>
                <w:rFonts w:hint="eastAsia" w:cs="仿宋"/>
              </w:rPr>
            </w:pPr>
            <w:r>
              <w:rPr>
                <w:rFonts w:hint="eastAsia" w:cs="仿宋"/>
                <w:color w:val="000000"/>
              </w:rPr>
              <w:t>用筛选法提取油</w:t>
            </w:r>
          </w:p>
        </w:tc>
        <w:tc>
          <w:tcPr>
            <w:tcW w:w="3217" w:type="dxa"/>
            <w:noWrap w:val="0"/>
            <w:tcMar>
              <w:top w:w="0" w:type="dxa"/>
              <w:left w:w="108" w:type="dxa"/>
              <w:bottom w:w="0" w:type="dxa"/>
              <w:right w:w="108" w:type="dxa"/>
            </w:tcMar>
            <w:vAlign w:val="center"/>
          </w:tcPr>
          <w:p w14:paraId="423918E4">
            <w:pPr>
              <w:pStyle w:val="2"/>
              <w:widowControl/>
              <w:adjustRightInd w:val="0"/>
              <w:snapToGrid w:val="0"/>
              <w:spacing w:before="0" w:beforeAutospacing="0" w:after="0" w:afterAutospacing="0"/>
              <w:jc w:val="both"/>
              <w:rPr>
                <w:rFonts w:hint="eastAsia" w:cs="仿宋"/>
              </w:rPr>
            </w:pPr>
            <w:r>
              <w:rPr>
                <w:rFonts w:hint="eastAsia" w:cs="仿宋"/>
                <w:color w:val="000000"/>
              </w:rPr>
              <w:t>将分离出的液体作燃料或送炼油厂直接处置</w:t>
            </w:r>
          </w:p>
          <w:p w14:paraId="7E123216">
            <w:pPr>
              <w:pStyle w:val="2"/>
              <w:widowControl/>
              <w:adjustRightInd w:val="0"/>
              <w:snapToGrid w:val="0"/>
              <w:spacing w:before="0" w:beforeAutospacing="0" w:after="0" w:afterAutospacing="0"/>
              <w:rPr>
                <w:rFonts w:hint="eastAsia" w:cs="仿宋"/>
              </w:rPr>
            </w:pPr>
            <w:r>
              <w:rPr>
                <w:rFonts w:hint="eastAsia" w:cs="仿宋"/>
                <w:color w:val="000000"/>
              </w:rPr>
              <w:t>用无机物固化</w:t>
            </w:r>
          </w:p>
          <w:p w14:paraId="2B69781D">
            <w:pPr>
              <w:pStyle w:val="2"/>
              <w:widowControl/>
              <w:adjustRightInd w:val="0"/>
              <w:snapToGrid w:val="0"/>
              <w:spacing w:before="0" w:beforeAutospacing="0" w:after="0" w:afterAutospacing="0"/>
              <w:rPr>
                <w:rFonts w:hint="eastAsia" w:cs="仿宋"/>
              </w:rPr>
            </w:pPr>
            <w:r>
              <w:rPr>
                <w:rFonts w:hint="eastAsia" w:cs="仿宋"/>
                <w:color w:val="000000"/>
              </w:rPr>
              <w:t>用耕耘</w:t>
            </w:r>
          </w:p>
          <w:p w14:paraId="559C83D9">
            <w:pPr>
              <w:pStyle w:val="2"/>
              <w:widowControl/>
              <w:adjustRightInd w:val="0"/>
              <w:snapToGrid w:val="0"/>
              <w:spacing w:before="0" w:beforeAutospacing="0" w:after="0" w:afterAutospacing="0"/>
              <w:rPr>
                <w:rFonts w:hint="eastAsia" w:cs="仿宋"/>
              </w:rPr>
            </w:pPr>
            <w:r>
              <w:rPr>
                <w:rFonts w:hint="eastAsia" w:cs="仿宋"/>
                <w:color w:val="000000"/>
              </w:rPr>
              <w:t>烧掉</w:t>
            </w:r>
          </w:p>
        </w:tc>
      </w:tr>
      <w:tr w14:paraId="22750D8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73CD8B18">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062D79CD">
            <w:pPr>
              <w:pStyle w:val="2"/>
              <w:widowControl/>
              <w:adjustRightInd w:val="0"/>
              <w:snapToGrid w:val="0"/>
              <w:spacing w:before="0" w:beforeAutospacing="0" w:after="0" w:afterAutospacing="0"/>
              <w:jc w:val="center"/>
              <w:rPr>
                <w:rFonts w:hint="eastAsia" w:cs="仿宋"/>
              </w:rPr>
            </w:pPr>
            <w:r>
              <w:rPr>
                <w:rFonts w:hint="eastAsia" w:cs="仿宋"/>
                <w:color w:val="000000"/>
              </w:rPr>
              <w:t>混有</w:t>
            </w:r>
          </w:p>
          <w:p w14:paraId="25A7D2FF">
            <w:pPr>
              <w:pStyle w:val="2"/>
              <w:widowControl/>
              <w:adjustRightInd w:val="0"/>
              <w:snapToGrid w:val="0"/>
              <w:spacing w:before="0" w:beforeAutospacing="0" w:after="0" w:afterAutospacing="0"/>
              <w:jc w:val="center"/>
              <w:rPr>
                <w:rFonts w:hint="eastAsia" w:cs="仿宋"/>
              </w:rPr>
            </w:pPr>
            <w:r>
              <w:rPr>
                <w:rFonts w:hint="eastAsia" w:cs="仿宋"/>
                <w:color w:val="000000"/>
              </w:rPr>
              <w:t>鹅卵石的油</w:t>
            </w:r>
          </w:p>
        </w:tc>
        <w:tc>
          <w:tcPr>
            <w:tcW w:w="3385" w:type="dxa"/>
            <w:noWrap w:val="0"/>
            <w:tcMar>
              <w:top w:w="0" w:type="dxa"/>
              <w:left w:w="108" w:type="dxa"/>
              <w:bottom w:w="0" w:type="dxa"/>
              <w:right w:w="108" w:type="dxa"/>
            </w:tcMar>
            <w:vAlign w:val="center"/>
          </w:tcPr>
          <w:p w14:paraId="5FE1AB56">
            <w:pPr>
              <w:pStyle w:val="2"/>
              <w:widowControl/>
              <w:adjustRightInd w:val="0"/>
              <w:snapToGrid w:val="0"/>
              <w:spacing w:before="0" w:beforeAutospacing="0" w:after="0" w:afterAutospacing="0"/>
              <w:jc w:val="both"/>
              <w:rPr>
                <w:rFonts w:hint="eastAsia" w:cs="仿宋"/>
              </w:rPr>
            </w:pPr>
            <w:r>
              <w:rPr>
                <w:rFonts w:hint="eastAsia" w:cs="仿宋"/>
                <w:color w:val="000000"/>
              </w:rPr>
              <w:t>短期储存利用沉淀效应将油从卵石中滤出</w:t>
            </w:r>
          </w:p>
          <w:p w14:paraId="17C9AA3D">
            <w:pPr>
              <w:pStyle w:val="2"/>
              <w:widowControl/>
              <w:adjustRightInd w:val="0"/>
              <w:snapToGrid w:val="0"/>
              <w:spacing w:before="0" w:beforeAutospacing="0" w:after="0" w:afterAutospacing="0"/>
              <w:jc w:val="both"/>
              <w:rPr>
                <w:rFonts w:hint="eastAsia" w:cs="仿宋"/>
              </w:rPr>
            </w:pPr>
            <w:r>
              <w:rPr>
                <w:rFonts w:hint="eastAsia" w:cs="仿宋"/>
                <w:color w:val="000000"/>
              </w:rPr>
              <w:t>用水和溶剂洗涤，分离鹅卵石</w:t>
            </w:r>
          </w:p>
        </w:tc>
        <w:tc>
          <w:tcPr>
            <w:tcW w:w="3217" w:type="dxa"/>
            <w:noWrap w:val="0"/>
            <w:tcMar>
              <w:top w:w="0" w:type="dxa"/>
              <w:left w:w="108" w:type="dxa"/>
              <w:bottom w:w="0" w:type="dxa"/>
              <w:right w:w="108" w:type="dxa"/>
            </w:tcMar>
            <w:vAlign w:val="center"/>
          </w:tcPr>
          <w:p w14:paraId="460C0E63">
            <w:pPr>
              <w:pStyle w:val="2"/>
              <w:widowControl/>
              <w:adjustRightInd w:val="0"/>
              <w:snapToGrid w:val="0"/>
              <w:spacing w:before="0" w:beforeAutospacing="0" w:after="0" w:afterAutospacing="0"/>
              <w:jc w:val="both"/>
              <w:rPr>
                <w:rFonts w:hint="eastAsia" w:cs="仿宋"/>
              </w:rPr>
            </w:pPr>
            <w:r>
              <w:rPr>
                <w:rFonts w:hint="eastAsia" w:cs="仿宋"/>
                <w:color w:val="000000"/>
              </w:rPr>
              <w:t>直接处置</w:t>
            </w:r>
          </w:p>
          <w:p w14:paraId="58D17FE8">
            <w:pPr>
              <w:pStyle w:val="2"/>
              <w:widowControl/>
              <w:adjustRightInd w:val="0"/>
              <w:snapToGrid w:val="0"/>
              <w:spacing w:before="0" w:beforeAutospacing="0" w:after="0" w:afterAutospacing="0"/>
              <w:jc w:val="both"/>
              <w:rPr>
                <w:rFonts w:hint="eastAsia" w:cs="仿宋"/>
              </w:rPr>
            </w:pPr>
            <w:r>
              <w:rPr>
                <w:rFonts w:hint="eastAsia" w:cs="仿宋"/>
                <w:color w:val="000000"/>
              </w:rPr>
              <w:t>烧掉</w:t>
            </w:r>
          </w:p>
        </w:tc>
      </w:tr>
      <w:tr w14:paraId="18E63A1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24A068D6">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618DFB79">
            <w:pPr>
              <w:pStyle w:val="2"/>
              <w:widowControl/>
              <w:adjustRightInd w:val="0"/>
              <w:snapToGrid w:val="0"/>
              <w:spacing w:before="0" w:beforeAutospacing="0" w:after="0" w:afterAutospacing="0"/>
              <w:jc w:val="center"/>
              <w:rPr>
                <w:rFonts w:hint="eastAsia" w:cs="仿宋"/>
              </w:rPr>
            </w:pPr>
            <w:r>
              <w:rPr>
                <w:rFonts w:hint="eastAsia" w:cs="仿宋"/>
                <w:color w:val="000000"/>
              </w:rPr>
              <w:t>沾油木块、塑料制品、</w:t>
            </w:r>
          </w:p>
          <w:p w14:paraId="7DEC0915">
            <w:pPr>
              <w:pStyle w:val="2"/>
              <w:widowControl/>
              <w:adjustRightInd w:val="0"/>
              <w:snapToGrid w:val="0"/>
              <w:spacing w:before="0" w:beforeAutospacing="0" w:after="0" w:afterAutospacing="0"/>
              <w:jc w:val="center"/>
              <w:rPr>
                <w:rFonts w:hint="eastAsia" w:cs="仿宋"/>
              </w:rPr>
            </w:pPr>
            <w:r>
              <w:rPr>
                <w:rFonts w:hint="eastAsia" w:cs="仿宋"/>
                <w:color w:val="000000"/>
              </w:rPr>
              <w:t>海藻和各种吸附材料</w:t>
            </w:r>
          </w:p>
        </w:tc>
        <w:tc>
          <w:tcPr>
            <w:tcW w:w="3385" w:type="dxa"/>
            <w:noWrap w:val="0"/>
            <w:tcMar>
              <w:top w:w="0" w:type="dxa"/>
              <w:left w:w="108" w:type="dxa"/>
              <w:bottom w:w="0" w:type="dxa"/>
              <w:right w:w="108" w:type="dxa"/>
            </w:tcMar>
            <w:vAlign w:val="center"/>
          </w:tcPr>
          <w:p w14:paraId="1A44A34A">
            <w:pPr>
              <w:pStyle w:val="2"/>
              <w:widowControl/>
              <w:adjustRightInd w:val="0"/>
              <w:snapToGrid w:val="0"/>
              <w:spacing w:before="0" w:beforeAutospacing="0" w:after="0" w:afterAutospacing="0"/>
              <w:rPr>
                <w:rFonts w:hint="eastAsia" w:cs="仿宋"/>
              </w:rPr>
            </w:pPr>
            <w:r>
              <w:rPr>
                <w:rFonts w:hint="eastAsia" w:cs="仿宋"/>
                <w:color w:val="000000"/>
              </w:rPr>
              <w:t>短期储存利用沉淀效应分离出液体油</w:t>
            </w:r>
          </w:p>
          <w:p w14:paraId="4DB996F4">
            <w:pPr>
              <w:pStyle w:val="2"/>
              <w:widowControl/>
              <w:adjustRightInd w:val="0"/>
              <w:snapToGrid w:val="0"/>
              <w:spacing w:before="0" w:beforeAutospacing="0" w:after="0" w:afterAutospacing="0"/>
              <w:rPr>
                <w:rFonts w:hint="eastAsia" w:cs="仿宋"/>
              </w:rPr>
            </w:pPr>
            <w:r>
              <w:rPr>
                <w:rFonts w:hint="eastAsia" w:cs="仿宋"/>
                <w:color w:val="000000"/>
              </w:rPr>
              <w:t>用水清洗除去各种杂质上的油</w:t>
            </w:r>
          </w:p>
        </w:tc>
        <w:tc>
          <w:tcPr>
            <w:tcW w:w="3217" w:type="dxa"/>
            <w:noWrap w:val="0"/>
            <w:tcMar>
              <w:top w:w="0" w:type="dxa"/>
              <w:left w:w="108" w:type="dxa"/>
              <w:bottom w:w="0" w:type="dxa"/>
              <w:right w:w="108" w:type="dxa"/>
            </w:tcMar>
            <w:vAlign w:val="center"/>
          </w:tcPr>
          <w:p w14:paraId="257F751E">
            <w:pPr>
              <w:pStyle w:val="2"/>
              <w:widowControl/>
              <w:adjustRightInd w:val="0"/>
              <w:snapToGrid w:val="0"/>
              <w:spacing w:before="0" w:beforeAutospacing="0" w:after="0" w:afterAutospacing="0"/>
              <w:rPr>
                <w:rFonts w:hint="eastAsia" w:cs="仿宋"/>
              </w:rPr>
            </w:pPr>
            <w:r>
              <w:rPr>
                <w:rFonts w:hint="eastAsia" w:cs="仿宋"/>
                <w:color w:val="000000"/>
              </w:rPr>
              <w:t>直接处置</w:t>
            </w:r>
          </w:p>
          <w:p w14:paraId="4A278C57">
            <w:pPr>
              <w:pStyle w:val="2"/>
              <w:widowControl/>
              <w:adjustRightInd w:val="0"/>
              <w:snapToGrid w:val="0"/>
              <w:spacing w:before="0" w:beforeAutospacing="0" w:after="0" w:afterAutospacing="0"/>
              <w:rPr>
                <w:rFonts w:hint="eastAsia" w:cs="仿宋"/>
              </w:rPr>
            </w:pPr>
            <w:r>
              <w:rPr>
                <w:rFonts w:hint="eastAsia" w:cs="仿宋"/>
                <w:color w:val="000000"/>
              </w:rPr>
              <w:t>烧掉</w:t>
            </w:r>
          </w:p>
          <w:p w14:paraId="3B42FE99">
            <w:pPr>
              <w:pStyle w:val="2"/>
              <w:widowControl/>
              <w:adjustRightInd w:val="0"/>
              <w:snapToGrid w:val="0"/>
              <w:spacing w:before="0" w:beforeAutospacing="0" w:after="0" w:afterAutospacing="0"/>
              <w:rPr>
                <w:rFonts w:hint="eastAsia" w:cs="仿宋"/>
              </w:rPr>
            </w:pPr>
            <w:r>
              <w:rPr>
                <w:rFonts w:hint="eastAsia" w:cs="仿宋"/>
                <w:color w:val="000000"/>
              </w:rPr>
              <w:t>通过耕耘处置其中的海藻和天然吸附材料</w:t>
            </w:r>
          </w:p>
        </w:tc>
      </w:tr>
      <w:tr w14:paraId="46A5827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15" w:type="dxa"/>
            <w:left w:w="15" w:type="dxa"/>
            <w:bottom w:w="15" w:type="dxa"/>
            <w:right w:w="15" w:type="dxa"/>
          </w:tblCellMar>
        </w:tblPrEx>
        <w:trPr>
          <w:cantSplit/>
          <w:trHeight w:val="100" w:hRule="atLeast"/>
        </w:trPr>
        <w:tc>
          <w:tcPr>
            <w:tcW w:w="592" w:type="dxa"/>
            <w:vMerge w:val="continue"/>
            <w:noWrap w:val="0"/>
            <w:tcMar>
              <w:top w:w="0" w:type="dxa"/>
              <w:left w:w="108" w:type="dxa"/>
              <w:bottom w:w="0" w:type="dxa"/>
              <w:right w:w="108" w:type="dxa"/>
            </w:tcMar>
            <w:vAlign w:val="center"/>
          </w:tcPr>
          <w:p w14:paraId="58654BFF">
            <w:pPr>
              <w:pStyle w:val="2"/>
              <w:widowControl/>
              <w:adjustRightInd w:val="0"/>
              <w:snapToGrid w:val="0"/>
              <w:spacing w:before="0" w:beforeAutospacing="0" w:after="0" w:afterAutospacing="0"/>
              <w:rPr>
                <w:rFonts w:hint="eastAsia" w:cs="仿宋"/>
              </w:rPr>
            </w:pPr>
          </w:p>
        </w:tc>
        <w:tc>
          <w:tcPr>
            <w:tcW w:w="1754" w:type="dxa"/>
            <w:noWrap w:val="0"/>
            <w:tcMar>
              <w:top w:w="0" w:type="dxa"/>
              <w:left w:w="108" w:type="dxa"/>
              <w:bottom w:w="0" w:type="dxa"/>
              <w:right w:w="108" w:type="dxa"/>
            </w:tcMar>
            <w:vAlign w:val="center"/>
          </w:tcPr>
          <w:p w14:paraId="5C368CFA">
            <w:pPr>
              <w:pStyle w:val="2"/>
              <w:widowControl/>
              <w:adjustRightInd w:val="0"/>
              <w:snapToGrid w:val="0"/>
              <w:spacing w:before="0" w:beforeAutospacing="0" w:after="0" w:afterAutospacing="0"/>
              <w:jc w:val="center"/>
              <w:rPr>
                <w:rFonts w:hint="eastAsia" w:cs="仿宋"/>
              </w:rPr>
            </w:pPr>
            <w:r>
              <w:rPr>
                <w:rFonts w:hint="eastAsia" w:cs="仿宋"/>
                <w:color w:val="000000"/>
              </w:rPr>
              <w:t>沥青球</w:t>
            </w:r>
          </w:p>
        </w:tc>
        <w:tc>
          <w:tcPr>
            <w:tcW w:w="3385" w:type="dxa"/>
            <w:noWrap w:val="0"/>
            <w:tcMar>
              <w:top w:w="0" w:type="dxa"/>
              <w:left w:w="108" w:type="dxa"/>
              <w:bottom w:w="0" w:type="dxa"/>
              <w:right w:w="108" w:type="dxa"/>
            </w:tcMar>
            <w:vAlign w:val="center"/>
          </w:tcPr>
          <w:p w14:paraId="7F3C17F4">
            <w:pPr>
              <w:pStyle w:val="2"/>
              <w:widowControl/>
              <w:adjustRightInd w:val="0"/>
              <w:snapToGrid w:val="0"/>
              <w:spacing w:before="0" w:beforeAutospacing="0" w:after="0" w:afterAutospacing="0"/>
              <w:rPr>
                <w:rFonts w:hint="eastAsia" w:cs="仿宋"/>
              </w:rPr>
            </w:pPr>
            <w:r>
              <w:rPr>
                <w:rFonts w:hint="eastAsia" w:cs="仿宋"/>
                <w:color w:val="000000"/>
              </w:rPr>
              <w:t>用筛选法将沙子分离出</w:t>
            </w:r>
          </w:p>
        </w:tc>
        <w:tc>
          <w:tcPr>
            <w:tcW w:w="3217" w:type="dxa"/>
            <w:noWrap w:val="0"/>
            <w:tcMar>
              <w:top w:w="0" w:type="dxa"/>
              <w:left w:w="108" w:type="dxa"/>
              <w:bottom w:w="0" w:type="dxa"/>
              <w:right w:w="108" w:type="dxa"/>
            </w:tcMar>
            <w:vAlign w:val="center"/>
          </w:tcPr>
          <w:p w14:paraId="20381311">
            <w:pPr>
              <w:pStyle w:val="2"/>
              <w:widowControl/>
              <w:adjustRightInd w:val="0"/>
              <w:snapToGrid w:val="0"/>
              <w:spacing w:before="0" w:beforeAutospacing="0" w:after="0" w:afterAutospacing="0"/>
              <w:rPr>
                <w:rFonts w:hint="eastAsia" w:cs="仿宋"/>
              </w:rPr>
            </w:pPr>
            <w:r>
              <w:rPr>
                <w:rFonts w:hint="eastAsia" w:cs="仿宋"/>
                <w:color w:val="000000"/>
              </w:rPr>
              <w:t>直接处置</w:t>
            </w:r>
          </w:p>
          <w:p w14:paraId="55DDFF9F">
            <w:pPr>
              <w:pStyle w:val="2"/>
              <w:widowControl/>
              <w:adjustRightInd w:val="0"/>
              <w:snapToGrid w:val="0"/>
              <w:spacing w:before="0" w:beforeAutospacing="0" w:after="0" w:afterAutospacing="0"/>
              <w:rPr>
                <w:rFonts w:hint="eastAsia" w:cs="仿宋"/>
              </w:rPr>
            </w:pPr>
            <w:r>
              <w:rPr>
                <w:rFonts w:hint="eastAsia" w:cs="仿宋"/>
                <w:color w:val="000000"/>
              </w:rPr>
              <w:t>烧掉</w:t>
            </w:r>
          </w:p>
        </w:tc>
      </w:tr>
    </w:tbl>
    <w:p w14:paraId="21DE77C6">
      <w:pPr>
        <w:pStyle w:val="2"/>
        <w:widowControl/>
        <w:adjustRightInd w:val="0"/>
        <w:snapToGrid w:val="0"/>
        <w:spacing w:beforeAutospacing="0" w:afterAutospacing="0" w:line="360" w:lineRule="auto"/>
        <w:rPr>
          <w:rFonts w:hint="eastAsia" w:cs="仿宋"/>
          <w:sz w:val="32"/>
          <w:szCs w:val="32"/>
        </w:rPr>
      </w:pPr>
      <w:r>
        <w:rPr>
          <w:rFonts w:hint="eastAsia" w:cs="仿宋"/>
          <w:sz w:val="32"/>
          <w:szCs w:val="32"/>
        </w:rPr>
        <w:t> </w:t>
      </w:r>
    </w:p>
    <w:p w14:paraId="6CD6D679">
      <w:pPr>
        <w:spacing w:line="500" w:lineRule="exact"/>
        <w:ind w:firstLine="640" w:firstLineChars="200"/>
        <w:rPr>
          <w:rFonts w:hint="eastAsia"/>
        </w:rPr>
      </w:pPr>
      <w:r>
        <w:rPr>
          <w:rFonts w:hint="eastAsia"/>
        </w:rPr>
        <w:t>4.2可用于污染物临时储存、运输的设施、设备包括：</w:t>
      </w:r>
    </w:p>
    <w:p w14:paraId="7A6E3849">
      <w:pPr>
        <w:tabs>
          <w:tab w:val="left" w:pos="594"/>
        </w:tabs>
        <w:adjustRightInd w:val="0"/>
        <w:snapToGrid w:val="0"/>
        <w:spacing w:line="500" w:lineRule="exact"/>
        <w:ind w:firstLine="640" w:firstLineChars="200"/>
        <w:rPr>
          <w:rFonts w:hint="default" w:eastAsia="仿宋" w:cs="仿宋"/>
          <w:szCs w:val="32"/>
          <w:lang w:val="en-US" w:eastAsia="zh-CN"/>
        </w:rPr>
      </w:pPr>
      <w:r>
        <w:rPr>
          <w:rFonts w:hint="eastAsia" w:cs="仿宋"/>
          <w:szCs w:val="32"/>
          <w:lang w:val="en-US" w:eastAsia="zh-CN"/>
        </w:rPr>
        <w:t>1)胜利503船：</w:t>
      </w:r>
      <w:r>
        <w:rPr>
          <w:rFonts w:hint="eastAsia" w:cs="仿宋"/>
          <w:szCs w:val="32"/>
        </w:rPr>
        <w:t>临时储存能力</w:t>
      </w:r>
      <w:r>
        <w:rPr>
          <w:rFonts w:hint="eastAsia" w:cs="仿宋"/>
          <w:szCs w:val="32"/>
          <w:lang w:val="en-US" w:eastAsia="zh-CN"/>
        </w:rPr>
        <w:t>33</w:t>
      </w:r>
      <w:r>
        <w:rPr>
          <w:rFonts w:hint="eastAsia" w:cs="仿宋"/>
          <w:szCs w:val="32"/>
        </w:rPr>
        <w:t>0m</w:t>
      </w:r>
      <w:r>
        <w:rPr>
          <w:rFonts w:hint="eastAsia" w:cs="仿宋"/>
          <w:szCs w:val="32"/>
          <w:vertAlign w:val="superscript"/>
        </w:rPr>
        <w:t>3</w:t>
      </w:r>
      <w:r>
        <w:rPr>
          <w:rFonts w:hint="eastAsia" w:cs="仿宋"/>
          <w:szCs w:val="32"/>
        </w:rPr>
        <w:t>；</w:t>
      </w:r>
    </w:p>
    <w:p w14:paraId="6DE600F2">
      <w:pPr>
        <w:tabs>
          <w:tab w:val="left" w:pos="594"/>
        </w:tabs>
        <w:adjustRightInd w:val="0"/>
        <w:snapToGrid w:val="0"/>
        <w:spacing w:line="500" w:lineRule="exact"/>
        <w:ind w:firstLine="640" w:firstLineChars="200"/>
        <w:rPr>
          <w:rFonts w:hint="eastAsia" w:cs="仿宋"/>
          <w:szCs w:val="32"/>
        </w:rPr>
      </w:pPr>
      <w:r>
        <w:rPr>
          <w:rFonts w:hint="eastAsia" w:cs="仿宋"/>
          <w:szCs w:val="32"/>
          <w:lang w:val="en-US" w:eastAsia="zh-CN"/>
        </w:rPr>
        <w:t>2</w:t>
      </w:r>
      <w:r>
        <w:rPr>
          <w:rFonts w:hint="eastAsia" w:cs="仿宋"/>
          <w:szCs w:val="32"/>
        </w:rPr>
        <w:t>)胜利212船：临时储存能力640m</w:t>
      </w:r>
      <w:r>
        <w:rPr>
          <w:rFonts w:hint="eastAsia" w:cs="仿宋"/>
          <w:szCs w:val="32"/>
          <w:vertAlign w:val="superscript"/>
        </w:rPr>
        <w:t>3</w:t>
      </w:r>
      <w:r>
        <w:rPr>
          <w:rFonts w:hint="eastAsia" w:cs="仿宋"/>
          <w:szCs w:val="32"/>
        </w:rPr>
        <w:t>；</w:t>
      </w:r>
    </w:p>
    <w:p w14:paraId="60644592">
      <w:pPr>
        <w:tabs>
          <w:tab w:val="left" w:pos="594"/>
        </w:tabs>
        <w:adjustRightInd w:val="0"/>
        <w:snapToGrid w:val="0"/>
        <w:spacing w:line="500" w:lineRule="exact"/>
        <w:ind w:firstLine="640" w:firstLineChars="200"/>
        <w:rPr>
          <w:rFonts w:hint="eastAsia" w:cs="仿宋"/>
          <w:szCs w:val="32"/>
        </w:rPr>
      </w:pPr>
      <w:r>
        <w:rPr>
          <w:rFonts w:hint="eastAsia" w:cs="仿宋"/>
          <w:szCs w:val="32"/>
          <w:lang w:val="en-US" w:eastAsia="zh-CN"/>
        </w:rPr>
        <w:t>3</w:t>
      </w:r>
      <w:r>
        <w:rPr>
          <w:rFonts w:hint="eastAsia" w:cs="仿宋"/>
          <w:szCs w:val="32"/>
        </w:rPr>
        <w:t>)胜利618船: 临时储存能力</w:t>
      </w:r>
      <w:r>
        <w:rPr>
          <w:rFonts w:hint="eastAsia" w:cs="仿宋"/>
          <w:szCs w:val="32"/>
          <w:lang w:val="en-US" w:eastAsia="zh-CN"/>
        </w:rPr>
        <w:t>1000</w:t>
      </w:r>
      <w:r>
        <w:rPr>
          <w:rFonts w:hint="eastAsia" w:cs="仿宋"/>
          <w:szCs w:val="32"/>
        </w:rPr>
        <w:t>m</w:t>
      </w:r>
      <w:r>
        <w:rPr>
          <w:rFonts w:hint="eastAsia" w:cs="仿宋"/>
          <w:szCs w:val="32"/>
          <w:vertAlign w:val="superscript"/>
        </w:rPr>
        <w:t>3</w:t>
      </w:r>
      <w:r>
        <w:rPr>
          <w:rFonts w:hint="eastAsia" w:cs="仿宋"/>
          <w:szCs w:val="32"/>
        </w:rPr>
        <w:t>；</w:t>
      </w:r>
    </w:p>
    <w:p w14:paraId="60798433">
      <w:pPr>
        <w:tabs>
          <w:tab w:val="left" w:pos="594"/>
        </w:tabs>
        <w:adjustRightInd w:val="0"/>
        <w:snapToGrid w:val="0"/>
        <w:spacing w:line="500" w:lineRule="exact"/>
        <w:rPr>
          <w:rFonts w:hint="eastAsia" w:cs="仿宋"/>
          <w:szCs w:val="32"/>
        </w:rPr>
      </w:pPr>
      <w:r>
        <w:rPr>
          <w:rFonts w:hint="eastAsia" w:cs="仿宋"/>
          <w:b/>
          <w:szCs w:val="32"/>
        </w:rPr>
        <w:t xml:space="preserve">    </w:t>
      </w:r>
      <w:r>
        <w:rPr>
          <w:rFonts w:hint="eastAsia" w:cs="仿宋"/>
          <w:szCs w:val="32"/>
        </w:rPr>
        <w:t>上述船舶合计临时储存能力为</w:t>
      </w:r>
      <w:r>
        <w:rPr>
          <w:rFonts w:hint="eastAsia" w:cs="仿宋"/>
          <w:szCs w:val="32"/>
          <w:lang w:val="en-US" w:eastAsia="zh-CN"/>
        </w:rPr>
        <w:t>1970</w:t>
      </w:r>
      <w:r>
        <w:rPr>
          <w:rFonts w:hint="eastAsia" w:cs="仿宋"/>
          <w:szCs w:val="32"/>
        </w:rPr>
        <w:t>m</w:t>
      </w:r>
      <w:r>
        <w:rPr>
          <w:rFonts w:hint="eastAsia" w:cs="仿宋"/>
          <w:szCs w:val="32"/>
          <w:vertAlign w:val="superscript"/>
        </w:rPr>
        <w:t>3</w:t>
      </w:r>
      <w:r>
        <w:rPr>
          <w:rFonts w:hint="eastAsia" w:cs="仿宋"/>
          <w:szCs w:val="32"/>
        </w:rPr>
        <w:t>，可对回收的液态污染物进行临时储存和运输；</w:t>
      </w:r>
    </w:p>
    <w:p w14:paraId="0595832B">
      <w:pPr>
        <w:tabs>
          <w:tab w:val="left" w:pos="594"/>
        </w:tabs>
        <w:adjustRightInd w:val="0"/>
        <w:snapToGrid w:val="0"/>
        <w:spacing w:line="500" w:lineRule="exact"/>
        <w:ind w:firstLine="600"/>
        <w:rPr>
          <w:rFonts w:hint="eastAsia" w:cs="仿宋"/>
          <w:szCs w:val="32"/>
        </w:rPr>
      </w:pPr>
      <w:r>
        <w:rPr>
          <w:rFonts w:hint="eastAsia" w:cs="仿宋"/>
          <w:szCs w:val="32"/>
          <w:lang w:val="en-US" w:eastAsia="zh-CN"/>
        </w:rPr>
        <w:t>4</w:t>
      </w:r>
      <w:r>
        <w:rPr>
          <w:rFonts w:hint="eastAsia" w:cs="仿宋"/>
          <w:szCs w:val="32"/>
        </w:rPr>
        <w:t>)港务管理中心岸基有固态污染物临时存储间。</w:t>
      </w:r>
    </w:p>
    <w:p w14:paraId="60CADEED">
      <w:pPr>
        <w:tabs>
          <w:tab w:val="left" w:pos="594"/>
        </w:tabs>
        <w:adjustRightInd w:val="0"/>
        <w:snapToGrid w:val="0"/>
        <w:spacing w:line="500" w:lineRule="exact"/>
        <w:rPr>
          <w:rFonts w:hint="eastAsia" w:cs="仿宋"/>
          <w:szCs w:val="32"/>
        </w:rPr>
      </w:pPr>
      <w:r>
        <w:rPr>
          <w:rFonts w:hint="eastAsia" w:cs="仿宋"/>
          <w:szCs w:val="32"/>
        </w:rPr>
        <w:t xml:space="preserve">    上述装备装置可对回收</w:t>
      </w:r>
      <w:bookmarkStart w:id="18" w:name="_GoBack"/>
      <w:bookmarkEnd w:id="18"/>
      <w:r>
        <w:rPr>
          <w:rFonts w:hint="eastAsia" w:cs="仿宋"/>
          <w:szCs w:val="32"/>
        </w:rPr>
        <w:t>到的固态污染物进行临时存储，并运输送往协议污染物处理单位。</w:t>
      </w:r>
    </w:p>
    <w:p w14:paraId="55B28F66">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10" w:name="_Toc3684"/>
      <w:bookmarkStart w:id="11" w:name="_Toc11263"/>
      <w:r>
        <w:rPr>
          <w:rFonts w:hint="eastAsia" w:cs="仿宋"/>
          <w:b/>
          <w:bCs/>
          <w:sz w:val="32"/>
          <w:szCs w:val="32"/>
        </w:rPr>
        <w:t>5.污染物临时处理方案</w:t>
      </w:r>
      <w:bookmarkEnd w:id="10"/>
      <w:bookmarkEnd w:id="11"/>
    </w:p>
    <w:p w14:paraId="5E0A61D2">
      <w:pPr>
        <w:adjustRightInd w:val="0"/>
        <w:snapToGrid w:val="0"/>
        <w:spacing w:line="500" w:lineRule="exact"/>
        <w:rPr>
          <w:rFonts w:hint="eastAsia" w:cs="仿宋"/>
          <w:szCs w:val="32"/>
        </w:rPr>
      </w:pPr>
      <w:r>
        <w:rPr>
          <w:rFonts w:hint="eastAsia" w:cs="仿宋"/>
          <w:szCs w:val="32"/>
        </w:rPr>
        <w:t xml:space="preserve">    5.1对于回收纯度较高、含水量较低的原油等污染物，利用临时储油罐、囊等进行储存，送岸后可进行加工、精炼、提纯再利用。</w:t>
      </w:r>
    </w:p>
    <w:p w14:paraId="55DD2983">
      <w:pPr>
        <w:adjustRightInd w:val="0"/>
        <w:snapToGrid w:val="0"/>
        <w:spacing w:line="500" w:lineRule="exact"/>
        <w:rPr>
          <w:rFonts w:hint="eastAsia" w:cs="仿宋"/>
          <w:szCs w:val="32"/>
        </w:rPr>
      </w:pPr>
      <w:r>
        <w:rPr>
          <w:rFonts w:hint="eastAsia" w:cs="仿宋"/>
          <w:szCs w:val="32"/>
        </w:rPr>
        <w:t xml:space="preserve">    5.2对于含油污水等液态污染物利用溢油应急处置船仓容临时储存，送往有环保资质的协议单位进行处置。</w:t>
      </w:r>
    </w:p>
    <w:p w14:paraId="1938FD5A">
      <w:pPr>
        <w:adjustRightInd w:val="0"/>
        <w:snapToGrid w:val="0"/>
        <w:spacing w:line="500" w:lineRule="exact"/>
        <w:rPr>
          <w:rFonts w:hint="eastAsia" w:cs="仿宋"/>
          <w:szCs w:val="32"/>
        </w:rPr>
      </w:pPr>
      <w:r>
        <w:rPr>
          <w:rFonts w:hint="eastAsia" w:cs="仿宋"/>
          <w:szCs w:val="32"/>
        </w:rPr>
        <w:t xml:space="preserve">    5.3对于附有油污的吸油毡等吸油材料及其它含油固体垃圾，可先用溢油垃圾编织袋进行包装，集中存放于溢油应急处置船或辅助船主甲板垃圾临时存放点，到岸后送往有环保资质的协议单位进行焚烧或掩埋等无害化处理。</w:t>
      </w:r>
    </w:p>
    <w:p w14:paraId="1C7204B7">
      <w:pPr>
        <w:adjustRightInd w:val="0"/>
        <w:snapToGrid w:val="0"/>
        <w:spacing w:line="500" w:lineRule="exact"/>
        <w:rPr>
          <w:rFonts w:hint="eastAsia" w:cs="仿宋"/>
          <w:szCs w:val="32"/>
        </w:rPr>
      </w:pPr>
      <w:r>
        <w:rPr>
          <w:rFonts w:hint="eastAsia" w:cs="仿宋"/>
          <w:szCs w:val="32"/>
        </w:rPr>
        <w:t xml:space="preserve">    5.4对于无法有效回收的油膜，可申请国家海事管理机构喷洒溢油分散剂进行处置。</w:t>
      </w:r>
    </w:p>
    <w:p w14:paraId="003D6B2C">
      <w:pPr>
        <w:adjustRightInd w:val="0"/>
        <w:snapToGrid w:val="0"/>
        <w:spacing w:line="500" w:lineRule="exact"/>
        <w:rPr>
          <w:rFonts w:hint="eastAsia" w:cs="仿宋"/>
          <w:szCs w:val="32"/>
        </w:rPr>
      </w:pPr>
      <w:r>
        <w:rPr>
          <w:rFonts w:hint="eastAsia" w:cs="仿宋"/>
          <w:szCs w:val="32"/>
        </w:rPr>
        <w:t xml:space="preserve">    5.5对于轻微污染的、没有旅游娱乐价值的岸线，可将沙砾犁耙起来使其充分通风，加快溢油风化。</w:t>
      </w:r>
    </w:p>
    <w:p w14:paraId="2F71798A">
      <w:pPr>
        <w:pStyle w:val="2"/>
        <w:widowControl/>
        <w:adjustRightInd w:val="0"/>
        <w:snapToGrid w:val="0"/>
        <w:spacing w:before="0" w:beforeAutospacing="0" w:after="0" w:afterAutospacing="0" w:line="500" w:lineRule="exact"/>
        <w:ind w:firstLine="643" w:firstLineChars="200"/>
        <w:outlineLvl w:val="1"/>
        <w:rPr>
          <w:rFonts w:hint="eastAsia" w:cs="仿宋"/>
          <w:b/>
          <w:bCs/>
          <w:sz w:val="32"/>
          <w:szCs w:val="32"/>
        </w:rPr>
      </w:pPr>
      <w:bookmarkStart w:id="12" w:name="_Toc30673"/>
      <w:bookmarkStart w:id="13" w:name="_Toc8546"/>
      <w:r>
        <w:rPr>
          <w:rFonts w:hint="eastAsia" w:cs="仿宋"/>
          <w:b/>
          <w:bCs/>
          <w:sz w:val="32"/>
          <w:szCs w:val="32"/>
        </w:rPr>
        <w:t>6.回收到的污染物临时储存、运输方案</w:t>
      </w:r>
      <w:bookmarkEnd w:id="12"/>
      <w:bookmarkEnd w:id="13"/>
    </w:p>
    <w:p w14:paraId="2FC858E4">
      <w:pPr>
        <w:spacing w:line="500" w:lineRule="exact"/>
        <w:rPr>
          <w:rFonts w:hint="eastAsia"/>
        </w:rPr>
      </w:pPr>
      <w:r>
        <w:rPr>
          <w:rFonts w:hint="eastAsia"/>
        </w:rPr>
        <w:t xml:space="preserve">    6.1回收的原油及含油污水的临时储存</w:t>
      </w:r>
    </w:p>
    <w:p w14:paraId="6A126AC6">
      <w:pPr>
        <w:adjustRightInd w:val="0"/>
        <w:snapToGrid w:val="0"/>
        <w:spacing w:line="500" w:lineRule="exact"/>
        <w:rPr>
          <w:rFonts w:hint="eastAsia" w:cs="仿宋"/>
          <w:color w:val="000000"/>
          <w:szCs w:val="32"/>
        </w:rPr>
      </w:pPr>
      <w:r>
        <w:rPr>
          <w:rFonts w:hint="eastAsia" w:cs="仿宋"/>
          <w:szCs w:val="32"/>
        </w:rPr>
        <w:t xml:space="preserve">    </w:t>
      </w:r>
      <w:r>
        <w:rPr>
          <w:rFonts w:hint="eastAsia" w:cs="仿宋"/>
          <w:kern w:val="0"/>
          <w:szCs w:val="32"/>
        </w:rPr>
        <w:t>回收到的原油及污油水可先存放于溢油应急处置船的液舱，或用浮动油囊作为进行临时存储。对于数量较多的污油水可通过转驳等方式到胜利618等污油水回收船进行临时处置。送往协议处理单位进行处置。</w:t>
      </w:r>
    </w:p>
    <w:p w14:paraId="25A57639">
      <w:pPr>
        <w:spacing w:line="500" w:lineRule="exact"/>
        <w:rPr>
          <w:rFonts w:hint="eastAsia" w:cs="仿宋"/>
          <w:color w:val="000000"/>
          <w:szCs w:val="32"/>
        </w:rPr>
      </w:pPr>
      <w:r>
        <w:rPr>
          <w:rFonts w:hint="eastAsia" w:cs="仿宋"/>
          <w:color w:val="000000"/>
          <w:szCs w:val="32"/>
        </w:rPr>
        <w:t xml:space="preserve">    </w:t>
      </w:r>
      <w:r>
        <w:rPr>
          <w:rFonts w:hint="eastAsia" w:cs="仿宋"/>
          <w:kern w:val="0"/>
          <w:szCs w:val="32"/>
        </w:rPr>
        <w:t>6.2使用后的吸油材料及其他含油固体垃圾的临时储存</w:t>
      </w:r>
    </w:p>
    <w:p w14:paraId="54C34FF8">
      <w:pPr>
        <w:adjustRightInd w:val="0"/>
        <w:snapToGrid w:val="0"/>
        <w:spacing w:line="500" w:lineRule="exact"/>
        <w:rPr>
          <w:rFonts w:hint="eastAsia" w:cs="仿宋"/>
          <w:szCs w:val="32"/>
        </w:rPr>
      </w:pPr>
      <w:r>
        <w:rPr>
          <w:rFonts w:hint="eastAsia" w:cs="仿宋"/>
          <w:szCs w:val="32"/>
        </w:rPr>
        <w:t xml:space="preserve">    使用过的吸油材料一经使用一般无法再次使用，此类吸油材料和含油固体垃圾若不及时进行回收，任由在海上漂浮仍将造成污染，应通过人工使用长钩等器械进行回收，回收的此类垃圾用溢油垃圾编织袋进行收集、包装，集中存放于溢油应急处置船或辅助船主甲板垃圾临时存放点，待到岸后及时联系车辆运往协议处理单位进行处置。</w:t>
      </w:r>
    </w:p>
    <w:p w14:paraId="50773336">
      <w:pPr>
        <w:spacing w:line="500" w:lineRule="exact"/>
        <w:rPr>
          <w:rFonts w:hint="eastAsia"/>
        </w:rPr>
      </w:pPr>
      <w:r>
        <w:rPr>
          <w:rFonts w:hint="eastAsia"/>
        </w:rPr>
        <w:t xml:space="preserve">    6.3海上储存方案</w:t>
      </w:r>
    </w:p>
    <w:p w14:paraId="0EE52CC8">
      <w:pPr>
        <w:adjustRightInd w:val="0"/>
        <w:snapToGrid w:val="0"/>
        <w:spacing w:line="500" w:lineRule="exact"/>
        <w:rPr>
          <w:rFonts w:hint="eastAsia" w:cs="仿宋"/>
          <w:color w:val="000000"/>
          <w:szCs w:val="32"/>
        </w:rPr>
      </w:pPr>
      <w:r>
        <w:rPr>
          <w:rFonts w:hint="eastAsia" w:cs="仿宋"/>
          <w:kern w:val="0"/>
          <w:szCs w:val="32"/>
        </w:rPr>
        <w:t xml:space="preserve">    海上回收的原油、污油水及垃圾主要通过溢油应急处置船，应急处置船应</w:t>
      </w:r>
      <w:r>
        <w:rPr>
          <w:rFonts w:hint="eastAsia" w:cs="仿宋"/>
          <w:color w:val="000000"/>
          <w:szCs w:val="32"/>
        </w:rPr>
        <w:t>具有足够舱容的船舶，如</w:t>
      </w:r>
      <w:r>
        <w:rPr>
          <w:rFonts w:hint="eastAsia" w:cs="仿宋"/>
          <w:kern w:val="0"/>
          <w:szCs w:val="32"/>
        </w:rPr>
        <w:t>胜利212、胜利503等船，海上回收的原油、污油水及垃圾主要是用溢油应急船舶和辅助船舶运往陆地。污油水可通过胜利618船等污油水回收船直接送往协议处理单位。溢油应急处置船舶靠泊码头后，回收到的吸油毡等吸油材料及垃圾卸载应急码头通过车辆送到协议处理单位进行处置；岸线清理时的固体污染物可由车辆直接装载运输，液体污染物可转驳到罐车内进行运输，送往协议处理单位。</w:t>
      </w:r>
    </w:p>
    <w:p w14:paraId="52EBCE24">
      <w:pPr>
        <w:spacing w:line="500" w:lineRule="exact"/>
        <w:rPr>
          <w:rFonts w:hint="eastAsia"/>
        </w:rPr>
      </w:pPr>
      <w:r>
        <w:rPr>
          <w:rFonts w:hint="eastAsia"/>
        </w:rPr>
        <w:t xml:space="preserve">    6.4陆地运输储存</w:t>
      </w:r>
    </w:p>
    <w:p w14:paraId="084E8DB4">
      <w:pPr>
        <w:adjustRightInd w:val="0"/>
        <w:snapToGrid w:val="0"/>
        <w:spacing w:line="500" w:lineRule="exact"/>
        <w:rPr>
          <w:rFonts w:hint="eastAsia" w:cs="仿宋"/>
          <w:color w:val="000000"/>
          <w:szCs w:val="32"/>
        </w:rPr>
      </w:pPr>
      <w:r>
        <w:rPr>
          <w:rFonts w:hint="eastAsia" w:cs="仿宋"/>
          <w:color w:val="000000"/>
          <w:szCs w:val="32"/>
        </w:rPr>
        <w:t xml:space="preserve">    与海上储存有所不同，岸上储存对储存装置要求比较简单，但是要考虑到回收油和固态废弃物的分离、分类储存及运输的问题。可先将回收物临时储存起来，使得从回收到处置之间有一个缓冲的机会，从而有时间考虑选用某种合适的方法进行处置。如果是岸上清除的物质，将其存在滩涂后方地带可使将来的运输分两个阶段进行：</w:t>
      </w:r>
    </w:p>
    <w:p w14:paraId="4A11764A">
      <w:pPr>
        <w:adjustRightInd w:val="0"/>
        <w:snapToGrid w:val="0"/>
        <w:spacing w:line="500" w:lineRule="exact"/>
        <w:rPr>
          <w:rFonts w:hint="eastAsia" w:cs="仿宋"/>
          <w:color w:val="000000"/>
          <w:szCs w:val="32"/>
        </w:rPr>
      </w:pPr>
      <w:r>
        <w:rPr>
          <w:rFonts w:hint="eastAsia" w:cs="仿宋"/>
          <w:color w:val="000000"/>
          <w:szCs w:val="32"/>
        </w:rPr>
        <w:t xml:space="preserve">    1)从滩涂到选定的临时地点；</w:t>
      </w:r>
    </w:p>
    <w:p w14:paraId="0C60CBBE">
      <w:pPr>
        <w:adjustRightInd w:val="0"/>
        <w:snapToGrid w:val="0"/>
        <w:spacing w:line="500" w:lineRule="exact"/>
        <w:rPr>
          <w:rFonts w:hint="eastAsia" w:cs="仿宋"/>
          <w:color w:val="000000"/>
          <w:szCs w:val="32"/>
        </w:rPr>
      </w:pPr>
      <w:r>
        <w:rPr>
          <w:rFonts w:hint="eastAsia" w:cs="仿宋"/>
          <w:color w:val="000000"/>
          <w:szCs w:val="32"/>
        </w:rPr>
        <w:t xml:space="preserve">    2)从临时储存地点到处置场所。</w:t>
      </w:r>
    </w:p>
    <w:p w14:paraId="7EB45D8D">
      <w:pPr>
        <w:adjustRightInd w:val="0"/>
        <w:snapToGrid w:val="0"/>
        <w:spacing w:line="500" w:lineRule="exact"/>
        <w:rPr>
          <w:rFonts w:hint="eastAsia" w:cs="仿宋"/>
          <w:color w:val="000000"/>
          <w:szCs w:val="32"/>
        </w:rPr>
      </w:pPr>
      <w:r>
        <w:rPr>
          <w:rFonts w:hint="eastAsia" w:cs="仿宋"/>
          <w:color w:val="000000"/>
          <w:szCs w:val="32"/>
        </w:rPr>
        <w:t xml:space="preserve">    在岸上回收的沾油废弃物主要有三种：混油沙、沾油的木块、塑料制品和海藻、固体沥青。每种沾油废弃物都需要不同的方法来处理和处置。岸上的存储装置有油罐车、储油罐、临时储油坑。</w:t>
      </w:r>
    </w:p>
    <w:p w14:paraId="0667A761">
      <w:pPr>
        <w:adjustRightInd w:val="0"/>
        <w:snapToGrid w:val="0"/>
        <w:spacing w:line="500" w:lineRule="exact"/>
        <w:outlineLvl w:val="1"/>
        <w:rPr>
          <w:rFonts w:hint="eastAsia" w:cs="仿宋"/>
          <w:color w:val="000000"/>
          <w:szCs w:val="32"/>
        </w:rPr>
      </w:pPr>
      <w:r>
        <w:rPr>
          <w:rFonts w:hint="eastAsia" w:cs="仿宋"/>
          <w:szCs w:val="32"/>
        </w:rPr>
        <w:t xml:space="preserve"> </w:t>
      </w:r>
      <w:r>
        <w:rPr>
          <w:rFonts w:hint="eastAsia" w:cs="仿宋"/>
          <w:b/>
          <w:bCs/>
          <w:kern w:val="0"/>
          <w:szCs w:val="32"/>
          <w:lang w:bidi="ar"/>
        </w:rPr>
        <w:t xml:space="preserve">   </w:t>
      </w:r>
      <w:bookmarkStart w:id="14" w:name="_Toc16327"/>
      <w:bookmarkStart w:id="15" w:name="_Toc17347"/>
      <w:r>
        <w:rPr>
          <w:rFonts w:hint="eastAsia" w:cs="仿宋"/>
          <w:b/>
          <w:bCs/>
          <w:kern w:val="0"/>
          <w:szCs w:val="32"/>
          <w:lang w:bidi="ar"/>
        </w:rPr>
        <w:t>7.应急清污船舶、设施、设备和器材清洗或销毁方案</w:t>
      </w:r>
      <w:bookmarkEnd w:id="14"/>
      <w:bookmarkEnd w:id="15"/>
    </w:p>
    <w:p w14:paraId="79C84D7F">
      <w:pPr>
        <w:adjustRightInd w:val="0"/>
        <w:snapToGrid w:val="0"/>
        <w:spacing w:line="500" w:lineRule="exact"/>
        <w:ind w:firstLine="640" w:firstLineChars="200"/>
        <w:rPr>
          <w:rFonts w:hint="eastAsia" w:cs="仿宋"/>
          <w:color w:val="000000"/>
          <w:szCs w:val="32"/>
        </w:rPr>
      </w:pPr>
      <w:r>
        <w:rPr>
          <w:rFonts w:hint="eastAsia" w:cs="仿宋"/>
          <w:color w:val="000000"/>
          <w:szCs w:val="32"/>
        </w:rPr>
        <w:t>7.1在清洗开始前准备工作：</w:t>
      </w:r>
    </w:p>
    <w:p w14:paraId="38D8770F">
      <w:pPr>
        <w:adjustRightInd w:val="0"/>
        <w:snapToGrid w:val="0"/>
        <w:spacing w:line="500" w:lineRule="exact"/>
        <w:ind w:firstLine="640" w:firstLineChars="200"/>
        <w:rPr>
          <w:rFonts w:hint="eastAsia" w:cs="仿宋"/>
          <w:color w:val="000000"/>
          <w:szCs w:val="32"/>
        </w:rPr>
      </w:pPr>
      <w:r>
        <w:rPr>
          <w:rFonts w:hint="eastAsia" w:cs="仿宋"/>
          <w:color w:val="000000"/>
          <w:szCs w:val="32"/>
        </w:rPr>
        <w:t>1)组织及安全机构：指派安全监督人员;现场安全负责人;现场作业管理人员;现场作业操作人员;后勤保障人员;</w:t>
      </w:r>
    </w:p>
    <w:p w14:paraId="19AC84AD">
      <w:pPr>
        <w:adjustRightInd w:val="0"/>
        <w:snapToGrid w:val="0"/>
        <w:spacing w:line="500" w:lineRule="exact"/>
        <w:ind w:firstLine="640" w:firstLineChars="200"/>
        <w:rPr>
          <w:rFonts w:hint="eastAsia" w:cs="仿宋"/>
          <w:color w:val="000000"/>
          <w:szCs w:val="32"/>
        </w:rPr>
      </w:pPr>
      <w:r>
        <w:rPr>
          <w:rFonts w:hint="eastAsia" w:cs="仿宋"/>
          <w:color w:val="000000"/>
          <w:szCs w:val="32"/>
        </w:rPr>
        <w:t>2)操作人员须经安全教育培训，严守作业安全事项;</w:t>
      </w:r>
    </w:p>
    <w:p w14:paraId="1B764DF7">
      <w:pPr>
        <w:adjustRightInd w:val="0"/>
        <w:snapToGrid w:val="0"/>
        <w:spacing w:line="500" w:lineRule="exact"/>
        <w:ind w:firstLine="640" w:firstLineChars="200"/>
        <w:rPr>
          <w:rFonts w:hint="eastAsia" w:cs="仿宋"/>
          <w:color w:val="000000"/>
          <w:szCs w:val="32"/>
        </w:rPr>
      </w:pPr>
      <w:r>
        <w:rPr>
          <w:rFonts w:hint="eastAsia" w:cs="仿宋"/>
          <w:color w:val="000000"/>
          <w:szCs w:val="32"/>
        </w:rPr>
        <w:t>3)清理、清扫油罐内部，须打开通风孔，确认罐内状况、气体分析合格后方可作业;</w:t>
      </w:r>
    </w:p>
    <w:p w14:paraId="12B5A77F">
      <w:pPr>
        <w:adjustRightInd w:val="0"/>
        <w:snapToGrid w:val="0"/>
        <w:spacing w:line="500" w:lineRule="exact"/>
        <w:ind w:firstLine="640" w:firstLineChars="200"/>
        <w:rPr>
          <w:rFonts w:hint="eastAsia" w:cs="仿宋"/>
          <w:color w:val="000000"/>
          <w:szCs w:val="32"/>
        </w:rPr>
      </w:pPr>
      <w:r>
        <w:rPr>
          <w:rFonts w:hint="eastAsia" w:cs="仿宋"/>
          <w:color w:val="000000"/>
          <w:szCs w:val="32"/>
        </w:rPr>
        <w:t>4)作业人员须穿戴防静电服装，橡胶手套，使用防爆照明灯具;</w:t>
      </w:r>
    </w:p>
    <w:p w14:paraId="47FA193E">
      <w:pPr>
        <w:adjustRightInd w:val="0"/>
        <w:snapToGrid w:val="0"/>
        <w:spacing w:line="500" w:lineRule="exact"/>
        <w:ind w:firstLine="640" w:firstLineChars="200"/>
        <w:rPr>
          <w:rFonts w:hint="eastAsia" w:cs="仿宋"/>
          <w:szCs w:val="32"/>
        </w:rPr>
      </w:pPr>
      <w:r>
        <w:rPr>
          <w:rFonts w:hint="eastAsia" w:cs="仿宋"/>
          <w:color w:val="000000"/>
          <w:szCs w:val="32"/>
        </w:rPr>
        <w:t>5)在危险清洗作业区域，标示安全警示牌。</w:t>
      </w:r>
    </w:p>
    <w:p w14:paraId="5140AA43">
      <w:pPr>
        <w:adjustRightInd w:val="0"/>
        <w:snapToGrid w:val="0"/>
        <w:spacing w:line="500" w:lineRule="exact"/>
        <w:rPr>
          <w:rFonts w:hint="eastAsia" w:cs="仿宋"/>
          <w:szCs w:val="32"/>
        </w:rPr>
      </w:pPr>
      <w:r>
        <w:rPr>
          <w:rFonts w:hint="eastAsia" w:cs="仿宋"/>
          <w:kern w:val="0"/>
          <w:szCs w:val="32"/>
        </w:rPr>
        <w:t xml:space="preserve">    7.2应急清污船舶的清洗</w:t>
      </w:r>
    </w:p>
    <w:p w14:paraId="07C6D4DA">
      <w:pPr>
        <w:adjustRightInd w:val="0"/>
        <w:snapToGrid w:val="0"/>
        <w:spacing w:line="500" w:lineRule="exact"/>
        <w:ind w:firstLine="600"/>
        <w:rPr>
          <w:rFonts w:hint="eastAsia" w:cs="仿宋"/>
          <w:kern w:val="0"/>
          <w:szCs w:val="32"/>
        </w:rPr>
      </w:pPr>
      <w:r>
        <w:rPr>
          <w:rFonts w:hint="eastAsia" w:cs="仿宋"/>
          <w:kern w:val="0"/>
          <w:szCs w:val="32"/>
        </w:rPr>
        <w:t>7.2.1</w:t>
      </w:r>
      <w:r>
        <w:rPr>
          <w:rFonts w:hint="eastAsia" w:cs="仿宋"/>
          <w:szCs w:val="32"/>
        </w:rPr>
        <w:t>溢油应急事故作业结束后，关闭清污船上所有阀门，撤离所有管线，清洁现场。</w:t>
      </w:r>
    </w:p>
    <w:p w14:paraId="5D1A302B">
      <w:pPr>
        <w:adjustRightInd w:val="0"/>
        <w:snapToGrid w:val="0"/>
        <w:spacing w:line="500" w:lineRule="exact"/>
        <w:ind w:firstLine="600"/>
        <w:rPr>
          <w:rFonts w:hint="eastAsia" w:cs="仿宋"/>
          <w:color w:val="000000"/>
          <w:szCs w:val="32"/>
        </w:rPr>
      </w:pPr>
      <w:r>
        <w:rPr>
          <w:rFonts w:hint="eastAsia" w:cs="仿宋"/>
          <w:kern w:val="0"/>
          <w:szCs w:val="32"/>
        </w:rPr>
        <w:t>7.2.2溢油应急处置船舶在靠泊码头后，先在其周围布好围油栏，以防止清洗污水流入海域造成二次污染，使用清洗装置进行清洗，清洗完毕后，所产生的污油水进行回收送到协议处理单位进行处置。</w:t>
      </w:r>
    </w:p>
    <w:p w14:paraId="35225C0E">
      <w:pPr>
        <w:adjustRightInd w:val="0"/>
        <w:snapToGrid w:val="0"/>
        <w:spacing w:line="500" w:lineRule="exact"/>
        <w:ind w:firstLine="600"/>
        <w:rPr>
          <w:rFonts w:hint="eastAsia" w:cs="仿宋"/>
          <w:kern w:val="0"/>
          <w:szCs w:val="32"/>
        </w:rPr>
      </w:pPr>
      <w:r>
        <w:rPr>
          <w:rFonts w:hint="eastAsia" w:cs="仿宋"/>
          <w:kern w:val="0"/>
          <w:szCs w:val="32"/>
        </w:rPr>
        <w:t>7.2.3若有必要可对溢油应急处置船舶进行上坞清洗，由专业清洗队伍对船体、污油水仓、船载储油罐进行清理。</w:t>
      </w:r>
    </w:p>
    <w:p w14:paraId="0D0F5E69">
      <w:pPr>
        <w:pStyle w:val="2"/>
        <w:widowControl/>
        <w:adjustRightInd w:val="0"/>
        <w:snapToGrid w:val="0"/>
        <w:spacing w:before="0" w:beforeAutospacing="0" w:after="0" w:afterAutospacing="0" w:line="500" w:lineRule="exact"/>
        <w:ind w:firstLine="640" w:firstLineChars="200"/>
        <w:rPr>
          <w:rFonts w:hint="eastAsia" w:cs="仿宋"/>
          <w:sz w:val="32"/>
          <w:szCs w:val="32"/>
        </w:rPr>
      </w:pPr>
      <w:r>
        <w:rPr>
          <w:rFonts w:hint="eastAsia" w:cs="仿宋"/>
          <w:sz w:val="32"/>
          <w:szCs w:val="32"/>
        </w:rPr>
        <w:t>7.2.4甲板的油污，需要使用人工用抹布擦拭，然后用分散剂、清洁剂等进行擦拭的方法最后清除干净。最后用淡水将甲板等部位冲刷干净。具体操作执行中心安全运营与防治污染管理制度。</w:t>
      </w:r>
    </w:p>
    <w:p w14:paraId="6698DB86">
      <w:pPr>
        <w:adjustRightInd w:val="0"/>
        <w:snapToGrid w:val="0"/>
        <w:spacing w:line="500" w:lineRule="exact"/>
        <w:rPr>
          <w:rFonts w:hint="eastAsia" w:cs="仿宋"/>
          <w:color w:val="000000"/>
          <w:szCs w:val="32"/>
        </w:rPr>
      </w:pPr>
      <w:r>
        <w:rPr>
          <w:rFonts w:hint="eastAsia" w:cs="仿宋"/>
          <w:kern w:val="0"/>
          <w:szCs w:val="32"/>
        </w:rPr>
        <w:t xml:space="preserve">    7.3设施、设备、器材的清洗</w:t>
      </w:r>
    </w:p>
    <w:p w14:paraId="2AAFD339">
      <w:pPr>
        <w:adjustRightInd w:val="0"/>
        <w:snapToGrid w:val="0"/>
        <w:spacing w:line="500" w:lineRule="exact"/>
        <w:ind w:firstLine="640" w:firstLineChars="200"/>
        <w:rPr>
          <w:rFonts w:hint="eastAsia" w:cs="仿宋"/>
          <w:kern w:val="0"/>
          <w:szCs w:val="32"/>
        </w:rPr>
      </w:pPr>
      <w:r>
        <w:rPr>
          <w:rFonts w:hint="eastAsia" w:cs="仿宋"/>
          <w:kern w:val="0"/>
          <w:szCs w:val="32"/>
        </w:rPr>
        <w:t>对于使用过的收油设备设施的清洗，可在专用场地进行，切不可使清洗下来的油污等污染到海洋、水源、土壤等自然环境。根据油污的粘度和种类不同，使用清洗车用冷水、热水或蒸汽进行彻底清洗，同时安排人工利用吸附材料对设施、设备、器材进行擦拭，对产生的污油水、擦机布等妥善处理。</w:t>
      </w:r>
    </w:p>
    <w:p w14:paraId="76888A85">
      <w:pPr>
        <w:spacing w:line="500" w:lineRule="exact"/>
        <w:ind w:firstLine="640" w:firstLineChars="200"/>
        <w:rPr>
          <w:rFonts w:hint="eastAsia"/>
        </w:rPr>
      </w:pPr>
      <w:r>
        <w:rPr>
          <w:rFonts w:hint="eastAsia"/>
        </w:rPr>
        <w:t>7.3.1围油栏的清洗</w:t>
      </w:r>
    </w:p>
    <w:p w14:paraId="617D6EA8">
      <w:pPr>
        <w:pStyle w:val="2"/>
        <w:widowControl/>
        <w:adjustRightInd w:val="0"/>
        <w:snapToGrid w:val="0"/>
        <w:spacing w:before="0" w:beforeAutospacing="0" w:after="0" w:afterAutospacing="0" w:line="500" w:lineRule="exact"/>
        <w:ind w:firstLine="640" w:firstLineChars="200"/>
        <w:rPr>
          <w:rFonts w:hint="eastAsia" w:cs="仿宋"/>
          <w:sz w:val="32"/>
          <w:szCs w:val="32"/>
        </w:rPr>
      </w:pPr>
      <w:r>
        <w:rPr>
          <w:rFonts w:hint="eastAsia" w:cs="仿宋"/>
          <w:sz w:val="32"/>
          <w:szCs w:val="32"/>
        </w:rPr>
        <w:t>1)用于应急作业的围油栏入库前必须清洗保养。</w:t>
      </w:r>
    </w:p>
    <w:p w14:paraId="1429E979">
      <w:pPr>
        <w:adjustRightInd w:val="0"/>
        <w:snapToGrid w:val="0"/>
        <w:spacing w:line="500" w:lineRule="exact"/>
        <w:ind w:firstLine="640" w:firstLineChars="200"/>
        <w:rPr>
          <w:rFonts w:hint="eastAsia" w:cs="仿宋"/>
          <w:kern w:val="0"/>
          <w:szCs w:val="32"/>
        </w:rPr>
      </w:pPr>
      <w:r>
        <w:rPr>
          <w:rFonts w:hint="eastAsia" w:cs="仿宋"/>
          <w:kern w:val="0"/>
          <w:szCs w:val="32"/>
        </w:rPr>
        <w:t>2)清洗时将围油栏收妥，在岸上可用冷水清洗机进行清洁，但要设置清洗区域，避免清洗下来的污水四溢造成二次污染。</w:t>
      </w:r>
    </w:p>
    <w:p w14:paraId="25638376">
      <w:pPr>
        <w:adjustRightInd w:val="0"/>
        <w:snapToGrid w:val="0"/>
        <w:spacing w:line="500" w:lineRule="exact"/>
        <w:ind w:firstLine="640" w:firstLineChars="200"/>
        <w:rPr>
          <w:rFonts w:hint="eastAsia" w:cs="仿宋"/>
          <w:kern w:val="0"/>
          <w:szCs w:val="32"/>
        </w:rPr>
      </w:pPr>
      <w:r>
        <w:rPr>
          <w:rFonts w:hint="eastAsia" w:cs="仿宋"/>
          <w:kern w:val="0"/>
          <w:szCs w:val="32"/>
        </w:rPr>
        <w:t>3)人工清洗围油栏，应先用刮片(最好木质)将粘在围油栏表面的厚油层轻轻刮去，再用温水清洗或使用分散剂刷洗，最后用吸油毡擦净。</w:t>
      </w:r>
    </w:p>
    <w:p w14:paraId="27CEDEF2">
      <w:pPr>
        <w:adjustRightInd w:val="0"/>
        <w:snapToGrid w:val="0"/>
        <w:spacing w:line="500" w:lineRule="exact"/>
        <w:ind w:firstLine="640" w:firstLineChars="200"/>
        <w:rPr>
          <w:rFonts w:hint="eastAsia" w:cs="仿宋"/>
          <w:kern w:val="0"/>
          <w:szCs w:val="32"/>
        </w:rPr>
      </w:pPr>
      <w:r>
        <w:rPr>
          <w:rFonts w:hint="eastAsia" w:cs="仿宋"/>
          <w:kern w:val="0"/>
          <w:szCs w:val="32"/>
        </w:rPr>
        <w:t>4)使用围油栏清洗机、喷枪与围油栏表面的清洗夹角应小于45°，水温不宜过热，只要能清除表面污油，温度越低越好，避免造成围油栏包皮的过早老化。</w:t>
      </w:r>
    </w:p>
    <w:p w14:paraId="2A4BB9CA">
      <w:pPr>
        <w:adjustRightInd w:val="0"/>
        <w:snapToGrid w:val="0"/>
        <w:spacing w:line="500" w:lineRule="exact"/>
        <w:ind w:firstLine="600"/>
        <w:rPr>
          <w:rFonts w:hint="eastAsia" w:cs="仿宋"/>
          <w:kern w:val="0"/>
          <w:szCs w:val="32"/>
        </w:rPr>
      </w:pPr>
      <w:r>
        <w:rPr>
          <w:rFonts w:hint="eastAsia" w:cs="仿宋"/>
          <w:kern w:val="0"/>
          <w:szCs w:val="32"/>
        </w:rPr>
        <w:t>5)围油栏经淡水冲洗干净，放置阴凉处晾干入库存放。</w:t>
      </w:r>
    </w:p>
    <w:p w14:paraId="0F4FD276">
      <w:pPr>
        <w:spacing w:line="500" w:lineRule="exact"/>
        <w:rPr>
          <w:rFonts w:hint="eastAsia"/>
        </w:rPr>
      </w:pPr>
      <w:r>
        <w:rPr>
          <w:rFonts w:hint="eastAsia"/>
        </w:rPr>
        <w:t>7.3.2油泵、收油机、管线的清洁</w:t>
      </w:r>
    </w:p>
    <w:p w14:paraId="23F80EC4">
      <w:pPr>
        <w:adjustRightInd w:val="0"/>
        <w:snapToGrid w:val="0"/>
        <w:spacing w:line="500" w:lineRule="exact"/>
        <w:ind w:firstLine="600"/>
        <w:rPr>
          <w:rFonts w:hint="eastAsia" w:cs="仿宋"/>
          <w:kern w:val="0"/>
          <w:szCs w:val="32"/>
        </w:rPr>
      </w:pPr>
      <w:r>
        <w:rPr>
          <w:rFonts w:hint="eastAsia" w:cs="仿宋"/>
          <w:kern w:val="0"/>
          <w:szCs w:val="32"/>
        </w:rPr>
        <w:t>溢油应急事故处理或演习后，应按照规定程序对油泵、收油机、管线等进行清洁保养工作。清洁保养要求为：</w:t>
      </w:r>
    </w:p>
    <w:p w14:paraId="2FFA4708">
      <w:pPr>
        <w:adjustRightInd w:val="0"/>
        <w:snapToGrid w:val="0"/>
        <w:spacing w:line="500" w:lineRule="exact"/>
        <w:ind w:firstLine="600"/>
        <w:rPr>
          <w:rFonts w:hint="eastAsia" w:cs="仿宋"/>
          <w:kern w:val="0"/>
          <w:szCs w:val="32"/>
        </w:rPr>
      </w:pPr>
      <w:r>
        <w:rPr>
          <w:rFonts w:hint="eastAsia" w:cs="仿宋"/>
          <w:kern w:val="0"/>
          <w:szCs w:val="32"/>
        </w:rPr>
        <w:t>1)清洁收油机不能造成二次污染;</w:t>
      </w:r>
    </w:p>
    <w:p w14:paraId="700551DD">
      <w:pPr>
        <w:adjustRightInd w:val="0"/>
        <w:snapToGrid w:val="0"/>
        <w:spacing w:line="500" w:lineRule="exact"/>
        <w:ind w:firstLine="600"/>
        <w:rPr>
          <w:rFonts w:hint="eastAsia" w:cs="仿宋"/>
          <w:kern w:val="0"/>
          <w:szCs w:val="32"/>
        </w:rPr>
      </w:pPr>
      <w:r>
        <w:rPr>
          <w:rFonts w:hint="eastAsia" w:cs="仿宋"/>
          <w:kern w:val="0"/>
          <w:szCs w:val="32"/>
        </w:rPr>
        <w:t>2)使用高压清洁装置清洁油泵、收油机的金属部件及管线，对附着的溢油可以使用柴油清洁;</w:t>
      </w:r>
    </w:p>
    <w:p w14:paraId="21103E2E">
      <w:pPr>
        <w:adjustRightInd w:val="0"/>
        <w:snapToGrid w:val="0"/>
        <w:spacing w:line="500" w:lineRule="exact"/>
        <w:ind w:firstLine="600"/>
        <w:rPr>
          <w:rFonts w:hint="eastAsia" w:cs="仿宋"/>
          <w:kern w:val="0"/>
          <w:szCs w:val="32"/>
        </w:rPr>
      </w:pPr>
      <w:r>
        <w:rPr>
          <w:rFonts w:hint="eastAsia" w:cs="仿宋"/>
          <w:kern w:val="0"/>
          <w:szCs w:val="32"/>
        </w:rPr>
        <w:t>3)在清洁收油机的液压软管和快速接头时，应特别注意对细小颗粒的清理;</w:t>
      </w:r>
    </w:p>
    <w:p w14:paraId="5875A499">
      <w:pPr>
        <w:adjustRightInd w:val="0"/>
        <w:snapToGrid w:val="0"/>
        <w:spacing w:line="500" w:lineRule="exact"/>
        <w:ind w:firstLine="600"/>
        <w:rPr>
          <w:rFonts w:hint="eastAsia" w:cs="仿宋"/>
          <w:kern w:val="0"/>
          <w:szCs w:val="32"/>
        </w:rPr>
      </w:pPr>
      <w:r>
        <w:rPr>
          <w:rFonts w:hint="eastAsia" w:cs="仿宋"/>
          <w:kern w:val="0"/>
          <w:szCs w:val="32"/>
        </w:rPr>
        <w:t>4)使用淡水清洁后，检查设备有无损坏;</w:t>
      </w:r>
    </w:p>
    <w:p w14:paraId="1042D6AA">
      <w:pPr>
        <w:adjustRightInd w:val="0"/>
        <w:snapToGrid w:val="0"/>
        <w:spacing w:line="500" w:lineRule="exact"/>
        <w:ind w:firstLine="600"/>
        <w:rPr>
          <w:rFonts w:hint="eastAsia" w:cs="仿宋"/>
          <w:kern w:val="0"/>
          <w:szCs w:val="32"/>
        </w:rPr>
      </w:pPr>
      <w:r>
        <w:rPr>
          <w:rFonts w:hint="eastAsia" w:cs="仿宋"/>
          <w:kern w:val="0"/>
          <w:szCs w:val="32"/>
        </w:rPr>
        <w:t>5)清洁完毕后，对油泵、收油机、管线进行维护保养。</w:t>
      </w:r>
    </w:p>
    <w:p w14:paraId="1935291A">
      <w:pPr>
        <w:adjustRightInd w:val="0"/>
        <w:snapToGrid w:val="0"/>
        <w:spacing w:line="500" w:lineRule="exact"/>
        <w:ind w:firstLine="640" w:firstLineChars="200"/>
        <w:rPr>
          <w:rFonts w:hint="eastAsia" w:cs="仿宋"/>
          <w:kern w:val="0"/>
          <w:szCs w:val="32"/>
        </w:rPr>
      </w:pPr>
      <w:r>
        <w:rPr>
          <w:rFonts w:hint="eastAsia" w:cs="仿宋"/>
          <w:kern w:val="0"/>
          <w:szCs w:val="32"/>
        </w:rPr>
        <w:t>7.4吸油拖栏、吸油毡的销毁</w:t>
      </w:r>
    </w:p>
    <w:p w14:paraId="5585411B">
      <w:pPr>
        <w:adjustRightInd w:val="0"/>
        <w:snapToGrid w:val="0"/>
        <w:spacing w:line="500" w:lineRule="exact"/>
        <w:ind w:firstLine="640" w:firstLineChars="200"/>
        <w:rPr>
          <w:rFonts w:hint="eastAsia" w:cs="仿宋"/>
          <w:kern w:val="0"/>
          <w:szCs w:val="32"/>
        </w:rPr>
      </w:pPr>
      <w:r>
        <w:rPr>
          <w:rFonts w:hint="eastAsia" w:cs="仿宋"/>
          <w:kern w:val="0"/>
          <w:szCs w:val="32"/>
        </w:rPr>
        <w:t>吸油拖栏、吸油毡等清污器材不能二次使用 。对于不能二次使用的设备器材应集中销毁。吸油毡和吸油拖栏等使用后，集中存放工作船指定的垃圾桶，并送到指定的回收单位销毁地点进行销毁，防止二次污染。</w:t>
      </w:r>
    </w:p>
    <w:p w14:paraId="0158AD1F">
      <w:pPr>
        <w:adjustRightInd w:val="0"/>
        <w:snapToGrid w:val="0"/>
        <w:spacing w:line="500" w:lineRule="exact"/>
        <w:ind w:firstLine="640" w:firstLineChars="200"/>
        <w:rPr>
          <w:rFonts w:hint="eastAsia" w:cs="仿宋"/>
          <w:kern w:val="0"/>
          <w:szCs w:val="32"/>
        </w:rPr>
      </w:pPr>
      <w:r>
        <w:rPr>
          <w:rFonts w:hint="eastAsia" w:cs="仿宋"/>
          <w:kern w:val="0"/>
          <w:szCs w:val="32"/>
        </w:rPr>
        <w:t>7.5清洗结束，对污染物分类进行销毁，无害垃圾，袋装送废渣填埋场填埋;含油污油水，采取桶装，送有环保资质工厂进行处理;有害垃圾(如油漆等)送有环保资质部门进行无害处理。</w:t>
      </w:r>
    </w:p>
    <w:p w14:paraId="64E494B3">
      <w:pPr>
        <w:adjustRightInd w:val="0"/>
        <w:snapToGrid w:val="0"/>
        <w:spacing w:line="500" w:lineRule="exact"/>
        <w:outlineLvl w:val="1"/>
        <w:rPr>
          <w:rFonts w:hint="eastAsia" w:cs="仿宋"/>
          <w:kern w:val="0"/>
          <w:szCs w:val="32"/>
        </w:rPr>
      </w:pPr>
      <w:r>
        <w:rPr>
          <w:rFonts w:hint="eastAsia" w:cs="仿宋"/>
          <w:kern w:val="0"/>
          <w:szCs w:val="32"/>
        </w:rPr>
        <w:t xml:space="preserve"> </w:t>
      </w:r>
      <w:r>
        <w:rPr>
          <w:rFonts w:hint="eastAsia" w:cs="仿宋"/>
          <w:b/>
          <w:bCs/>
          <w:kern w:val="0"/>
          <w:szCs w:val="32"/>
          <w:lang w:bidi="ar"/>
        </w:rPr>
        <w:t xml:space="preserve">   </w:t>
      </w:r>
      <w:bookmarkStart w:id="16" w:name="_Toc24915"/>
      <w:bookmarkStart w:id="17" w:name="_Toc14976"/>
      <w:r>
        <w:rPr>
          <w:rFonts w:hint="eastAsia" w:cs="仿宋"/>
          <w:b/>
          <w:bCs/>
          <w:kern w:val="0"/>
          <w:szCs w:val="32"/>
          <w:lang w:bidi="ar"/>
        </w:rPr>
        <w:t>8.污染物送岸处理方案</w:t>
      </w:r>
      <w:bookmarkEnd w:id="16"/>
      <w:bookmarkEnd w:id="17"/>
    </w:p>
    <w:p w14:paraId="55DD3013">
      <w:pPr>
        <w:adjustRightInd w:val="0"/>
        <w:snapToGrid w:val="0"/>
        <w:spacing w:line="500" w:lineRule="exact"/>
        <w:rPr>
          <w:rFonts w:hint="eastAsia" w:cs="仿宋"/>
          <w:color w:val="000000"/>
          <w:szCs w:val="32"/>
        </w:rPr>
      </w:pPr>
      <w:r>
        <w:rPr>
          <w:rFonts w:hint="eastAsia" w:cs="仿宋"/>
          <w:color w:val="000000"/>
          <w:szCs w:val="32"/>
        </w:rPr>
        <w:t xml:space="preserve">    8.1</w:t>
      </w:r>
      <w:r>
        <w:rPr>
          <w:rFonts w:hint="eastAsia" w:cs="仿宋"/>
          <w:szCs w:val="32"/>
        </w:rPr>
        <w:t>对于回收的油品、污油水全部送至协议单位无害化污油水处理站进行处置。</w:t>
      </w:r>
      <w:r>
        <w:rPr>
          <w:rFonts w:hint="eastAsia" w:cs="仿宋"/>
          <w:color w:val="000000"/>
          <w:szCs w:val="32"/>
        </w:rPr>
        <w:t>回收溢油均含有较高水分，首先应进行油水分离。溢出时间较短的溢油经油水分离后可送炼油厂重新炼制。如果炼油厂没有足够的存储和加工能力，需安排好过渡的存储场地。</w:t>
      </w:r>
    </w:p>
    <w:p w14:paraId="2D9FB44A">
      <w:pPr>
        <w:adjustRightInd w:val="0"/>
        <w:snapToGrid w:val="0"/>
        <w:spacing w:line="500" w:lineRule="exact"/>
        <w:rPr>
          <w:rFonts w:hint="eastAsia" w:cs="仿宋"/>
          <w:color w:val="000000"/>
          <w:szCs w:val="32"/>
        </w:rPr>
      </w:pPr>
      <w:r>
        <w:rPr>
          <w:rFonts w:hint="eastAsia" w:cs="仿宋"/>
          <w:color w:val="000000"/>
          <w:szCs w:val="32"/>
        </w:rPr>
        <w:t xml:space="preserve">    8.2现场焚烧可以减少运输的麻烦。适合现场焚烧处理的固体废弃物包括污染的植物、浮木和吸油材料等，这些废弃物容易燃烧，在符合环保要求的前提下，可以采用现场燃烧的办法。</w:t>
      </w:r>
    </w:p>
    <w:p w14:paraId="1CEEF559">
      <w:pPr>
        <w:adjustRightInd w:val="0"/>
        <w:snapToGrid w:val="0"/>
        <w:spacing w:line="500" w:lineRule="exact"/>
        <w:rPr>
          <w:rFonts w:hint="eastAsia" w:cs="仿宋"/>
          <w:color w:val="000000"/>
          <w:szCs w:val="32"/>
        </w:rPr>
      </w:pPr>
      <w:r>
        <w:rPr>
          <w:rFonts w:hint="eastAsia" w:cs="仿宋"/>
          <w:color w:val="000000"/>
          <w:szCs w:val="32"/>
        </w:rPr>
        <w:t xml:space="preserve">    如需焚烧处理，应选择合适的燃烧地点。要考虑人员设备、设施以及锚泊的船舶、码头、桥梁等有不被燃烧烧坏或者受到浓烟的影响。燃烧过程中产生的浓黑烟雾中包括烟气和烟尘，烟气中含有一氧化碳、二氧化碳和二氧化硫；烟尘中含有未燃烧的碳氢化合物和燃烧残余物，它在飘落的过程中通过呼吸系统会对人体健康造成危害。</w:t>
      </w:r>
    </w:p>
    <w:p w14:paraId="04CFAA60">
      <w:pPr>
        <w:adjustRightInd w:val="0"/>
        <w:snapToGrid w:val="0"/>
        <w:spacing w:line="500" w:lineRule="exact"/>
        <w:rPr>
          <w:rFonts w:hint="eastAsia" w:cs="仿宋"/>
          <w:color w:val="000000"/>
          <w:szCs w:val="32"/>
        </w:rPr>
      </w:pPr>
      <w:r>
        <w:rPr>
          <w:rFonts w:hint="eastAsia" w:cs="仿宋"/>
          <w:color w:val="000000"/>
          <w:szCs w:val="32"/>
        </w:rPr>
        <w:t xml:space="preserve">    8.3掩埋处置</w:t>
      </w:r>
    </w:p>
    <w:p w14:paraId="45B8EF8A">
      <w:pPr>
        <w:adjustRightInd w:val="0"/>
        <w:snapToGrid w:val="0"/>
        <w:spacing w:line="500" w:lineRule="exact"/>
        <w:rPr>
          <w:rFonts w:hint="eastAsia" w:cs="仿宋"/>
          <w:color w:val="000000"/>
          <w:szCs w:val="32"/>
        </w:rPr>
      </w:pPr>
      <w:r>
        <w:rPr>
          <w:rFonts w:hint="eastAsia" w:cs="仿宋"/>
          <w:color w:val="000000"/>
          <w:szCs w:val="32"/>
        </w:rPr>
        <w:t xml:space="preserve">    掩埋油污染较轻的垃圾是常用的处置方法。掩埋处置这些废弃物应事先取得环保部门的许可，并在指定的地点进行。</w:t>
      </w:r>
    </w:p>
    <w:p w14:paraId="293D3625">
      <w:pPr>
        <w:adjustRightInd w:val="0"/>
        <w:snapToGrid w:val="0"/>
        <w:spacing w:line="500" w:lineRule="exact"/>
        <w:rPr>
          <w:rFonts w:hint="eastAsia" w:cs="仿宋"/>
          <w:color w:val="000000"/>
          <w:szCs w:val="32"/>
        </w:rPr>
      </w:pPr>
      <w:r>
        <w:rPr>
          <w:rFonts w:hint="eastAsia" w:cs="仿宋"/>
          <w:color w:val="000000"/>
          <w:szCs w:val="32"/>
        </w:rPr>
        <w:t xml:space="preserve">    掩埋的废弃物的含油量不能超过20%，需处理垃圾的含油量不同，掩埋的方法也不同。掩埋场地应远离渗透性强的地层，废弃的采石场是较为理想的掩埋场地，但是采石场要有足够的深度，避免雨水的积累致使回收油外溢造成新的污染。</w:t>
      </w:r>
    </w:p>
    <w:p w14:paraId="7BD8FED1">
      <w:pPr>
        <w:adjustRightInd w:val="0"/>
        <w:snapToGrid w:val="0"/>
        <w:spacing w:line="500" w:lineRule="exact"/>
        <w:rPr>
          <w:rFonts w:hint="eastAsia" w:cs="仿宋"/>
          <w:color w:val="000000"/>
          <w:szCs w:val="32"/>
        </w:rPr>
      </w:pPr>
      <w:r>
        <w:rPr>
          <w:rFonts w:hint="eastAsia" w:cs="仿宋"/>
          <w:color w:val="000000"/>
          <w:szCs w:val="32"/>
        </w:rPr>
        <w:t xml:space="preserve">    有些地方严格控制掩埋带油的垃圾，这就需要在掩埋前进行相应的处理，其方法就是将废弃物有效的包裹或添加稳定剂，防止有从垃圾中渗透出来。掩埋处置通常遇到的问题是难以选择理想的掩埋场地。在轻度污染海滩上的沾油沙石和沥青球，可以将它们收集起来就地掩埋在高水位以上的部分，掩埋深度通常为1m，这样油就不会因为海浪的冲刷而暴露出来。</w:t>
      </w:r>
    </w:p>
    <w:p w14:paraId="3397E2FF">
      <w:pPr>
        <w:adjustRightInd w:val="0"/>
        <w:snapToGrid w:val="0"/>
        <w:spacing w:line="500" w:lineRule="exact"/>
        <w:rPr>
          <w:rFonts w:hint="eastAsia" w:cs="仿宋"/>
          <w:color w:val="000000"/>
          <w:szCs w:val="32"/>
        </w:rPr>
      </w:pPr>
      <w:r>
        <w:rPr>
          <w:rFonts w:hint="eastAsia" w:cs="仿宋"/>
          <w:color w:val="000000"/>
          <w:szCs w:val="32"/>
        </w:rPr>
        <w:t xml:space="preserve">    8.4使用无机物固化</w:t>
      </w:r>
    </w:p>
    <w:p w14:paraId="10536F8F">
      <w:pPr>
        <w:adjustRightInd w:val="0"/>
        <w:snapToGrid w:val="0"/>
        <w:spacing w:line="500" w:lineRule="exact"/>
        <w:ind w:firstLine="480"/>
        <w:rPr>
          <w:rFonts w:hint="eastAsia" w:cs="仿宋"/>
          <w:szCs w:val="32"/>
        </w:rPr>
      </w:pPr>
      <w:r>
        <w:rPr>
          <w:rFonts w:hint="eastAsia" w:cs="仿宋"/>
          <w:color w:val="000000"/>
          <w:szCs w:val="32"/>
        </w:rPr>
        <w:t>对不含大量的木块和海藻的沾油沙子的处置，一般采用无机物固化的方法。如生石灰，将油凝固起来以阻止油的渗透。除了用生石灰做为固化材料外，还可以用水泥或火力发电厂的粉碎煤渣做为固化材料。固化材料的选择应是处置地点附近容易得到的，用生石灰固化沾油的废弃物的优点是生石灰与水反应时所产生的热量能降低油的粘度，所需生石灰的量取决于废弃物含水量的多少，而不是含油量的多少，一般生石灰的用量为待处置物重量的5-20%。</w:t>
      </w:r>
      <w:r>
        <w:rPr>
          <w:rFonts w:hint="eastAsia" w:cs="仿宋"/>
          <w:szCs w:val="32"/>
        </w:rPr>
        <w:t>对于回收的使用过的吸油材料及含油固体垃圾全部送至协议单位进行处置。</w:t>
      </w:r>
    </w:p>
    <w:p w14:paraId="504393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A02358"/>
    <w:rsid w:val="513B2525"/>
    <w:rsid w:val="6EF03832"/>
    <w:rsid w:val="79226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4</TotalTime>
  <ScaleCrop>false</ScaleCrop>
  <LinksUpToDate>false</LinksUpToDate>
  <CharactersWithSpaces>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2025-05-19T08:01:00Z</dcterms:created>
  <dc:creator>Administrator</dc:creator>
  <cp:lastModifiedBy>wps</cp:lastModifiedBy>
  <dcterms:modified xsi:type="dcterms:W3CDTF">2025-05-21T09:11:47Z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668B88F0804646379203B12E26DA0532_12</vt:lpwstr>
  </property>
</Properties>
</file>