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01D28">
      <w:pPr>
        <w:pStyle w:val="2"/>
        <w:numPr>
          <w:numId w:val="0"/>
        </w:numPr>
        <w:jc w:val="center"/>
        <w:rPr>
          <w:rFonts w:hint="eastAsia"/>
        </w:rPr>
      </w:pPr>
      <w:r>
        <w:rPr>
          <w:rFonts w:hint="eastAsia"/>
        </w:rPr>
        <w:t>污染清除作业方案</w:t>
      </w:r>
    </w:p>
    <w:p w14:paraId="02A64486">
      <w:pPr>
        <w:spacing w:line="500" w:lineRule="exact"/>
        <w:outlineLvl w:val="1"/>
        <w:rPr>
          <w:rStyle w:val="7"/>
          <w:rFonts w:hint="eastAsia" w:cs="仿宋"/>
          <w:color w:val="auto"/>
          <w:szCs w:val="32"/>
          <w:u w:val="none"/>
        </w:rPr>
      </w:pPr>
      <w:bookmarkStart w:id="0" w:name="_Toc21821"/>
      <w:bookmarkStart w:id="1" w:name="_Toc18417"/>
      <w:bookmarkStart w:id="2" w:name="_Toc2574"/>
      <w:bookmarkStart w:id="3" w:name="_Toc26644"/>
      <w:bookmarkStart w:id="4" w:name="_Toc6938"/>
      <w:r>
        <w:rPr>
          <w:rStyle w:val="8"/>
          <w:rFonts w:hint="eastAsia"/>
          <w:b/>
          <w:bCs w:val="0"/>
        </w:rPr>
        <w:t>1.总体应急策略描述</w:t>
      </w:r>
      <w:bookmarkEnd w:id="0"/>
      <w:bookmarkEnd w:id="1"/>
      <w:bookmarkEnd w:id="2"/>
      <w:bookmarkEnd w:id="3"/>
      <w:bookmarkEnd w:id="4"/>
      <w:r>
        <w:rPr>
          <w:rStyle w:val="7"/>
          <w:rFonts w:hint="eastAsia" w:cs="仿宋"/>
          <w:b/>
          <w:color w:val="auto"/>
          <w:szCs w:val="32"/>
          <w:u w:val="none"/>
        </w:rPr>
        <w:t xml:space="preserve"> </w:t>
      </w:r>
      <w:r>
        <w:rPr>
          <w:rStyle w:val="7"/>
          <w:rFonts w:hint="eastAsia" w:cs="仿宋"/>
          <w:color w:val="auto"/>
          <w:szCs w:val="32"/>
          <w:u w:val="none"/>
        </w:rPr>
        <w:t xml:space="preserve">   </w:t>
      </w:r>
    </w:p>
    <w:p w14:paraId="6FC74C42">
      <w:pPr>
        <w:spacing w:line="500" w:lineRule="exact"/>
        <w:ind w:firstLine="640" w:firstLineChars="200"/>
        <w:rPr>
          <w:rFonts w:hint="eastAsia"/>
        </w:rPr>
      </w:pPr>
      <w:bookmarkStart w:id="5" w:name="_Toc20186"/>
      <w:bookmarkStart w:id="6" w:name="_Toc12009"/>
      <w:bookmarkStart w:id="7" w:name="_Toc24614"/>
      <w:r>
        <w:rPr>
          <w:rFonts w:hint="eastAsia"/>
        </w:rPr>
        <w:t>1.1服务区域自然环境概况</w:t>
      </w:r>
      <w:bookmarkEnd w:id="5"/>
      <w:bookmarkEnd w:id="6"/>
      <w:bookmarkEnd w:id="7"/>
    </w:p>
    <w:p w14:paraId="4FD394D3">
      <w:pPr>
        <w:spacing w:line="500" w:lineRule="exact"/>
        <w:rPr>
          <w:rFonts w:hint="eastAsia"/>
        </w:rPr>
      </w:pPr>
      <w:r>
        <w:rPr>
          <w:rFonts w:hint="eastAsia"/>
        </w:rPr>
        <w:t xml:space="preserve">    </w:t>
      </w:r>
      <w:bookmarkStart w:id="8" w:name="_Toc4655"/>
      <w:r>
        <w:rPr>
          <w:rFonts w:hint="eastAsia"/>
        </w:rPr>
        <w:t>1.1.1地理位置</w:t>
      </w:r>
      <w:bookmarkEnd w:id="8"/>
    </w:p>
    <w:p w14:paraId="73041D93">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地处渤海南岸、胶东半岛西北部山东省</w:t>
      </w:r>
      <w:r>
        <w:rPr>
          <w:rFonts w:hint="eastAsia" w:ascii="仿宋" w:hAnsi="仿宋" w:eastAsia="仿宋" w:cs="仿宋"/>
          <w:color w:val="auto"/>
          <w:sz w:val="32"/>
          <w:szCs w:val="32"/>
          <w:lang w:bidi="ar"/>
        </w:rPr>
        <w:fldChar w:fldCharType="begin"/>
      </w:r>
      <w:r>
        <w:rPr>
          <w:rFonts w:hint="eastAsia" w:ascii="仿宋" w:hAnsi="仿宋" w:eastAsia="仿宋" w:cs="仿宋"/>
          <w:color w:val="auto"/>
          <w:sz w:val="32"/>
          <w:szCs w:val="32"/>
          <w:lang w:bidi="ar"/>
        </w:rPr>
        <w:instrText xml:space="preserve"> HYPERLINK "https://baike.baidu.com/item/%E9%BE%99%E5%8F%A3%E5%B8%82/2405133?fromModule=lemma_inlink" \t "https://baike.baidu.com/item/%E9%BE%99%E5%8F%A3%E6%B8%AF/_blank" </w:instrText>
      </w:r>
      <w:r>
        <w:rPr>
          <w:rFonts w:hint="eastAsia" w:ascii="仿宋" w:hAnsi="仿宋" w:eastAsia="仿宋" w:cs="仿宋"/>
          <w:color w:val="auto"/>
          <w:sz w:val="32"/>
          <w:szCs w:val="32"/>
          <w:lang w:bidi="ar"/>
        </w:rPr>
        <w:fldChar w:fldCharType="separate"/>
      </w:r>
      <w:r>
        <w:rPr>
          <w:rFonts w:hint="eastAsia" w:ascii="仿宋" w:hAnsi="仿宋" w:eastAsia="仿宋" w:cs="仿宋"/>
          <w:color w:val="auto"/>
          <w:sz w:val="32"/>
          <w:szCs w:val="32"/>
          <w:lang w:bidi="ar"/>
        </w:rPr>
        <w:t>龙口市</w:t>
      </w:r>
      <w:r>
        <w:rPr>
          <w:rFonts w:hint="eastAsia" w:ascii="仿宋" w:hAnsi="仿宋" w:eastAsia="仿宋" w:cs="仿宋"/>
          <w:color w:val="auto"/>
          <w:sz w:val="32"/>
          <w:szCs w:val="32"/>
          <w:lang w:bidi="ar"/>
        </w:rPr>
        <w:fldChar w:fldCharType="end"/>
      </w:r>
      <w:r>
        <w:rPr>
          <w:rFonts w:hint="eastAsia" w:ascii="仿宋" w:hAnsi="仿宋" w:eastAsia="仿宋" w:cs="仿宋"/>
          <w:color w:val="auto"/>
          <w:sz w:val="32"/>
          <w:szCs w:val="32"/>
          <w:lang w:bidi="ar"/>
        </w:rPr>
        <w:t>，与</w:t>
      </w:r>
      <w:r>
        <w:rPr>
          <w:rFonts w:hint="eastAsia" w:ascii="仿宋" w:hAnsi="仿宋" w:eastAsia="仿宋" w:cs="仿宋"/>
          <w:color w:val="auto"/>
          <w:sz w:val="32"/>
          <w:szCs w:val="32"/>
          <w:lang w:bidi="ar"/>
        </w:rPr>
        <w:fldChar w:fldCharType="begin"/>
      </w:r>
      <w:r>
        <w:rPr>
          <w:rFonts w:hint="eastAsia" w:ascii="仿宋" w:hAnsi="仿宋" w:eastAsia="仿宋" w:cs="仿宋"/>
          <w:color w:val="auto"/>
          <w:sz w:val="32"/>
          <w:szCs w:val="32"/>
          <w:lang w:bidi="ar"/>
        </w:rPr>
        <w:instrText xml:space="preserve"> HYPERLINK "https://baike.baidu.com/item/%E8%BE%BD%E4%B8%9C%E5%8D%8A%E5%B2%9B/1969849?fromModule=lemma_inlink" \t "https://baike.baidu.com/item/%E9%BE%99%E5%8F%A3%E6%B8%AF/_blank" </w:instrText>
      </w:r>
      <w:r>
        <w:rPr>
          <w:rFonts w:hint="eastAsia" w:ascii="仿宋" w:hAnsi="仿宋" w:eastAsia="仿宋" w:cs="仿宋"/>
          <w:color w:val="auto"/>
          <w:sz w:val="32"/>
          <w:szCs w:val="32"/>
          <w:lang w:bidi="ar"/>
        </w:rPr>
        <w:fldChar w:fldCharType="separate"/>
      </w:r>
      <w:r>
        <w:rPr>
          <w:rFonts w:hint="eastAsia" w:ascii="仿宋" w:hAnsi="仿宋" w:eastAsia="仿宋" w:cs="仿宋"/>
          <w:color w:val="auto"/>
          <w:sz w:val="32"/>
          <w:szCs w:val="32"/>
          <w:lang w:bidi="ar"/>
        </w:rPr>
        <w:t>辽东半岛</w:t>
      </w:r>
      <w:r>
        <w:rPr>
          <w:rFonts w:hint="eastAsia" w:ascii="仿宋" w:hAnsi="仿宋" w:eastAsia="仿宋" w:cs="仿宋"/>
          <w:color w:val="auto"/>
          <w:sz w:val="32"/>
          <w:szCs w:val="32"/>
          <w:lang w:bidi="ar"/>
        </w:rPr>
        <w:fldChar w:fldCharType="end"/>
      </w:r>
      <w:r>
        <w:rPr>
          <w:rFonts w:hint="eastAsia" w:ascii="仿宋" w:hAnsi="仿宋" w:eastAsia="仿宋" w:cs="仿宋"/>
          <w:color w:val="auto"/>
          <w:sz w:val="32"/>
          <w:szCs w:val="32"/>
          <w:lang w:bidi="ar"/>
        </w:rPr>
        <w:t>隔海相望。位于东经120~19114"，北纬37~39，11"，港湾自然条件良好。座落于</w:t>
      </w:r>
      <w:r>
        <w:rPr>
          <w:rFonts w:hint="eastAsia" w:ascii="仿宋" w:hAnsi="仿宋" w:eastAsia="仿宋" w:cs="仿宋"/>
          <w:color w:val="auto"/>
          <w:sz w:val="32"/>
          <w:szCs w:val="32"/>
          <w:lang w:bidi="ar"/>
        </w:rPr>
        <w:fldChar w:fldCharType="begin"/>
      </w:r>
      <w:r>
        <w:rPr>
          <w:rFonts w:hint="eastAsia" w:ascii="仿宋" w:hAnsi="仿宋" w:eastAsia="仿宋" w:cs="仿宋"/>
          <w:color w:val="auto"/>
          <w:sz w:val="32"/>
          <w:szCs w:val="32"/>
          <w:lang w:bidi="ar"/>
        </w:rPr>
        <w:instrText xml:space="preserve"> HYPERLINK "https://baike.baidu.com/item/%E9%BE%99%E5%8F%A3%E6%B9%BE/6106682?fromModule=lemma_inlink" \t "https://baike.baidu.com/item/%E9%BE%99%E5%8F%A3%E6%B8%AF/_blank" </w:instrText>
      </w:r>
      <w:r>
        <w:rPr>
          <w:rFonts w:hint="eastAsia" w:ascii="仿宋" w:hAnsi="仿宋" w:eastAsia="仿宋" w:cs="仿宋"/>
          <w:color w:val="auto"/>
          <w:sz w:val="32"/>
          <w:szCs w:val="32"/>
          <w:lang w:bidi="ar"/>
        </w:rPr>
        <w:fldChar w:fldCharType="separate"/>
      </w:r>
      <w:r>
        <w:rPr>
          <w:rFonts w:hint="eastAsia" w:ascii="仿宋" w:hAnsi="仿宋" w:eastAsia="仿宋" w:cs="仿宋"/>
          <w:color w:val="auto"/>
          <w:sz w:val="32"/>
          <w:szCs w:val="32"/>
          <w:lang w:bidi="ar"/>
        </w:rPr>
        <w:t>龙口湾</w:t>
      </w:r>
      <w:r>
        <w:rPr>
          <w:rFonts w:hint="eastAsia" w:ascii="仿宋" w:hAnsi="仿宋" w:eastAsia="仿宋" w:cs="仿宋"/>
          <w:color w:val="auto"/>
          <w:sz w:val="32"/>
          <w:szCs w:val="32"/>
          <w:lang w:bidi="ar"/>
        </w:rPr>
        <w:fldChar w:fldCharType="end"/>
      </w:r>
      <w:r>
        <w:rPr>
          <w:rFonts w:hint="eastAsia" w:ascii="仿宋" w:hAnsi="仿宋" w:eastAsia="仿宋" w:cs="仿宋"/>
          <w:color w:val="auto"/>
          <w:sz w:val="32"/>
          <w:szCs w:val="32"/>
          <w:lang w:bidi="ar"/>
        </w:rPr>
        <w:t>东岸，龙口湾港区水域面积38.6平方公里，浅海滩涂长约15公里，面积66.7余平方公里。湾内水深小于10米，湾底向西南倾斜。</w:t>
      </w:r>
    </w:p>
    <w:p w14:paraId="176DCE51">
      <w:pPr>
        <w:spacing w:line="500" w:lineRule="exact"/>
        <w:rPr>
          <w:rFonts w:hint="eastAsia" w:cs="仿宋"/>
          <w:kern w:val="0"/>
          <w:szCs w:val="32"/>
          <w:lang w:bidi="ar"/>
        </w:rPr>
      </w:pPr>
      <w:r>
        <w:rPr>
          <w:rFonts w:hint="eastAsia" w:cs="仿宋"/>
          <w:kern w:val="0"/>
          <w:szCs w:val="32"/>
          <w:lang w:bidi="ar"/>
        </w:rPr>
        <w:t xml:space="preserve">    </w:t>
      </w:r>
      <w:bookmarkStart w:id="9" w:name="_Toc16519"/>
      <w:r>
        <w:rPr>
          <w:rFonts w:hint="eastAsia"/>
        </w:rPr>
        <w:t>1.1.2海底地形地貌</w:t>
      </w:r>
      <w:bookmarkEnd w:id="9"/>
    </w:p>
    <w:p w14:paraId="027A559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胜利港地处龙口湾的北侧中段，龙口区域地形具有明显的阶梯性，自南向北呈带状逐级下降。海岸属于海侵型平原砂质海岸，是冰后期全新世海侵的产物。龙口湾呈L型潜水内湾，其北部为东西长8km，南北宽1km的屺坶岛连岛沙坝，湾内有两条水底沙坝，西侧沙坝为东南走向约1500m的尖子头沙坝，东侧为东西走向约3km的官道沙坝。地形地貌属于水下浅滩，在湾内内列水下沙坝的南侧，地形变化较小，坡度较小。龙口湾属砂质海岸，由岸到湾外海床淤积物组成逐渐细化，岸边组成为砂砾、粗细砂，湾中部和湾口水深较大的区域及湾外沉积物普遍较细，以粘土粉砂和砂质粉砂为主；沿岸几乎没有泥沙来源。</w:t>
      </w:r>
    </w:p>
    <w:p w14:paraId="7904E937">
      <w:pPr>
        <w:spacing w:line="500" w:lineRule="exact"/>
        <w:rPr>
          <w:rFonts w:hint="eastAsia"/>
        </w:rPr>
      </w:pPr>
      <w:r>
        <w:rPr>
          <w:rFonts w:hint="eastAsia"/>
        </w:rPr>
        <w:t xml:space="preserve">    </w:t>
      </w:r>
      <w:bookmarkStart w:id="10" w:name="_Toc1012"/>
      <w:r>
        <w:rPr>
          <w:rFonts w:hint="eastAsia"/>
        </w:rPr>
        <w:t>1.1.3服务区域水文气象综述</w:t>
      </w:r>
      <w:bookmarkEnd w:id="10"/>
    </w:p>
    <w:p w14:paraId="51A27478">
      <w:pPr>
        <w:pStyle w:val="9"/>
        <w:snapToGrid w:val="0"/>
        <w:spacing w:line="500" w:lineRule="exact"/>
        <w:ind w:firstLine="640" w:firstLineChars="200"/>
        <w:jc w:val="both"/>
        <w:rPr>
          <w:rFonts w:hint="eastAsia" w:ascii="仿宋" w:hAnsi="仿宋" w:eastAsia="仿宋" w:cs="仿宋"/>
          <w:sz w:val="32"/>
          <w:szCs w:val="32"/>
        </w:rPr>
      </w:pPr>
      <w:bookmarkStart w:id="11" w:name="_Toc298434793"/>
      <w:bookmarkStart w:id="12" w:name="_Toc297910033"/>
      <w:bookmarkStart w:id="13" w:name="_Toc298434460"/>
      <w:r>
        <w:rPr>
          <w:rFonts w:hint="eastAsia" w:ascii="仿宋" w:hAnsi="仿宋" w:eastAsia="仿宋" w:cs="仿宋"/>
          <w:color w:val="auto"/>
          <w:sz w:val="32"/>
          <w:szCs w:val="32"/>
          <w:lang w:bidi="ar"/>
        </w:rPr>
        <w:t>1）潮汐。据龙口海洋站验潮资料统计，本海区潮流性质不属于不正规半日潮流，每日两次涨、落潮流，潮流的延时不等；最大涨潮流发生在高潮前2h~3h，最大落潮流发生在高潮后3h~4h。海区以旋转流为主，但在湾口处基本呈往复流性质。湾口处流速大于湾内流速；最大涨潮流速84cm/是，最大落潮流速91cm/s。落潮流速大于涨潮流速，不会造成潮流挟砂落淤的现象。</w:t>
      </w:r>
    </w:p>
    <w:p w14:paraId="5FC5A8A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波浪。龙口海洋站位于龙口湾外，具有多年的观测资料；该站测波浮鼓设在屺坶岛高角NNW方向（距岸528m、水深15.7m处），从1961年1月开始观测至今。根据观测资料统计分析，龙口湾外海域波浪以风浪为主，频率占88%；常波向为NE向，频率为14%；次波向为NNE，频率为9%；强波向为NE向，最大波高7.2m（出现于1979安全（QHSE）管理督查部陈文杰2023-09-01 9年的寒潮大风过程）。本海域常波向及强波向四季变化不大。</w:t>
      </w:r>
    </w:p>
    <w:p w14:paraId="61E5534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龙口湾由于有一长约10km的连岛砂坝肾入海中，形成了天然的防波堤，所以湾内外波浪有很大不同。根据短期资料统计：湾内常波向为SW向，频率为15%；次波向为SSW、NE，频率为12%；强波向为WSW向，最大波高2.9m；次强波向为S、SSW和SW向，最大波高均为2.3m。全年平均波高为0.4m，仅为湾外三分之一左右，最大波高为湾外的40%。</w:t>
      </w:r>
    </w:p>
    <w:p w14:paraId="5F24D0B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风。受海陆分布和地形地势影响，全年主导风向为南风，全年南风频率为20%，4~7月南风频率在25-27%，其它各月在14-20%。次多风向为东北风，频率为8%，最少风向为东南风，频率为2%。累年平均风速为4.1米/秒，5月份最大为5.1米/秒，8、9月份最小同为2.9米/秒。累年大风日数38天，最多年达93天，最少年为8天，偶有台风侵袭。年最大风速（10分钟平均）为21米/秒，风向为南和西北西，出现在1970年4月8日和1983年4月29日。2分钟平均风速曾达34米/秒，出现在1964年4月6日。年有效风能可达869千瓦小时/平方米，属风能利用丰富区。</w:t>
      </w:r>
    </w:p>
    <w:p w14:paraId="29AF9FD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冰凌。海区1～2月份水温较低，月平均水温0.1～0.4℃，极端最低水温-3.2℃；7～8月水温较高，月平均水温26.5～27.1℃，极端最高水温31.3℃。本海区不同年份的冰情冰期差异很大，大多数年份冰期短，冰情轻。冰情轻时，只有很少量的流冰，近海一般于12月下旬开始结冰，次年二月底消失，冰期一般为60~70天，其中一月底至二月中旬为盛冰期。冰情严重年份，固定冰期可达一个半月以上，沿海固定冰厚约10~20cm，最厚达30~40cm，宽度一般为500m，个别年份达2km以上；流冰外缘距岸10km左右，岸边冰的堆积高度一般有1m，个别年份2m。流冰漂流主方向是NE~N，其次是W~SW，漂流速度一般为0.2~0.4,m/s，最大约0.8m/s。</w:t>
      </w:r>
    </w:p>
    <w:p w14:paraId="6ABD23FA">
      <w:pPr>
        <w:spacing w:line="500" w:lineRule="exact"/>
        <w:rPr>
          <w:rFonts w:hint="eastAsia"/>
        </w:rPr>
      </w:pPr>
      <w:r>
        <w:rPr>
          <w:rFonts w:hint="eastAsia"/>
        </w:rPr>
        <w:t xml:space="preserve">    </w:t>
      </w:r>
      <w:bookmarkStart w:id="14" w:name="_Toc12812"/>
      <w:bookmarkStart w:id="15" w:name="_Toc3833"/>
      <w:bookmarkStart w:id="16" w:name="_Toc2431"/>
      <w:r>
        <w:rPr>
          <w:rFonts w:hint="eastAsia"/>
        </w:rPr>
        <w:t>1.2总体应急策略</w:t>
      </w:r>
      <w:bookmarkEnd w:id="11"/>
      <w:bookmarkEnd w:id="12"/>
      <w:bookmarkEnd w:id="13"/>
      <w:bookmarkEnd w:id="14"/>
      <w:bookmarkEnd w:id="15"/>
      <w:bookmarkEnd w:id="16"/>
    </w:p>
    <w:p w14:paraId="12BDDE6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当污染发生时，应当立即按照制定的防止污染应急预案，开展污染控制和清除作业，采取消除或减轻污染损害的措施，并及时向海事管理机构报告清污进展情况。在终止清污行动前应当向海事管理机构报告，经同意后可停止应急处置措施。在清污过程中，确需使用化学溢油分散剂时，清污单位、船舶或其代理人应当事先向海事管理机构提交书面申请，经批准后方可使用，并在事后及时向海事管理机构提交化学溢油分散剂使用情况报告。</w:t>
      </w:r>
    </w:p>
    <w:p w14:paraId="16B6CEF6">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溢油事故发生时，采取迅速而有效的应急对策，控制和消除溢油，缓解或减轻污染损害是溢油应急反应的初衷。但是，溢油应急反应并没有确定的模式，有必要在制定计划时，对各种溢油情况的应急对策都事先作出安排，以便在溢油发生时给予指导，迅速做出应急决策。可采用的应急措施主要有防止或减少污染源的溢流、监视水面溢油并保护未受威胁的资源、快速回收溢油、申请使用溢油分散剂等化学处理剂、保护重要资源、考虑使用分散剂和现场焚烧、生物降解或前面所述技术的合理配合。</w:t>
      </w:r>
    </w:p>
    <w:p w14:paraId="70700E4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1）设立现场指挥部，及时掌握事故有关信息；</w:t>
      </w:r>
    </w:p>
    <w:p w14:paraId="706C040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2）事故责任方采取必要的控制和清除措施；</w:t>
      </w:r>
    </w:p>
    <w:p w14:paraId="43B9D27A">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3）防止进一步泄漏和发生火灾的措施，对溢油源进行警戒、监视其扩散动态的措施；</w:t>
      </w:r>
    </w:p>
    <w:p w14:paraId="2947E251">
      <w:pPr>
        <w:spacing w:line="500" w:lineRule="exact"/>
        <w:rPr>
          <w:rFonts w:hint="eastAsia"/>
        </w:rPr>
      </w:pPr>
      <w:r>
        <w:rPr>
          <w:rFonts w:hint="eastAsia"/>
        </w:rPr>
        <w:t xml:space="preserve">  </w:t>
      </w:r>
      <w:bookmarkStart w:id="17" w:name="_Toc6107"/>
      <w:r>
        <w:rPr>
          <w:rFonts w:hint="eastAsia"/>
        </w:rPr>
        <w:t xml:space="preserve">  4）对可能受污染威胁环境敏感区的保护措施；</w:t>
      </w:r>
      <w:bookmarkEnd w:id="17"/>
    </w:p>
    <w:p w14:paraId="53EEA2AC">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5）调度应急队伍和应急资源数量以及相关的后勤保障方案；</w:t>
      </w:r>
    </w:p>
    <w:p w14:paraId="611724D9">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6）确定需要协调的相关主管部门和支持机构的名单，明确各自应给予的支持任务；</w:t>
      </w:r>
    </w:p>
    <w:p w14:paraId="7AF3DD4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7）溢油监视、监测及时的应用；</w:t>
      </w:r>
    </w:p>
    <w:p w14:paraId="30963D9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8）应急期间通信网络的构成以及信息传递程序；</w:t>
      </w:r>
    </w:p>
    <w:p w14:paraId="6F14121B">
      <w:pPr>
        <w:pStyle w:val="9"/>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9）现场作业安全和公共卫生或健康的具体规定；</w:t>
      </w:r>
    </w:p>
    <w:p w14:paraId="27CFFC41">
      <w:pPr>
        <w:pStyle w:val="9"/>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10）可实施的应急清除作业方案；</w:t>
      </w:r>
    </w:p>
    <w:p w14:paraId="14837797">
      <w:pPr>
        <w:pStyle w:val="9"/>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11）若溢油严重，当地的应急力量和资源不能满足应急反应需求时，应向上一级机构提出援助请求或实行区域合作。</w:t>
      </w:r>
    </w:p>
    <w:p w14:paraId="6B2CABE3">
      <w:pPr>
        <w:pStyle w:val="3"/>
        <w:spacing w:line="500" w:lineRule="exact"/>
        <w:jc w:val="both"/>
        <w:rPr>
          <w:rFonts w:hint="eastAsia"/>
          <w:b/>
          <w:bCs w:val="0"/>
          <w:lang w:val="en-US" w:eastAsia="zh-CN"/>
        </w:rPr>
      </w:pPr>
      <w:bookmarkStart w:id="18" w:name="_Toc17006"/>
      <w:bookmarkStart w:id="19" w:name="_Toc18690"/>
      <w:bookmarkStart w:id="20" w:name="_Toc5246"/>
      <w:bookmarkStart w:id="21" w:name="_Toc9341"/>
      <w:r>
        <w:rPr>
          <w:rFonts w:hint="eastAsia"/>
          <w:b/>
          <w:bCs w:val="0"/>
          <w:lang w:val="en-US" w:eastAsia="zh-CN"/>
        </w:rPr>
        <w:t>2.清污行动组织机构及通讯联络</w:t>
      </w:r>
      <w:bookmarkEnd w:id="18"/>
      <w:bookmarkEnd w:id="19"/>
      <w:bookmarkEnd w:id="20"/>
      <w:bookmarkEnd w:id="21"/>
      <w:bookmarkStart w:id="22" w:name="_Toc298434795"/>
      <w:bookmarkStart w:id="23" w:name="_Toc298434462"/>
    </w:p>
    <w:p w14:paraId="2690101E">
      <w:pPr>
        <w:spacing w:line="500" w:lineRule="exact"/>
        <w:rPr>
          <w:rFonts w:hint="eastAsia"/>
        </w:rPr>
      </w:pPr>
      <w:r>
        <w:rPr>
          <w:rFonts w:hint="eastAsia"/>
        </w:rPr>
        <w:t xml:space="preserve">    </w:t>
      </w:r>
      <w:bookmarkStart w:id="24" w:name="_Toc22881"/>
      <w:bookmarkStart w:id="25" w:name="_Toc9533"/>
      <w:bookmarkStart w:id="26" w:name="_Toc2228"/>
      <w:r>
        <w:rPr>
          <w:rFonts w:hint="eastAsia"/>
        </w:rPr>
        <w:t>2.1清污行动总指挥部</w:t>
      </w:r>
      <w:bookmarkEnd w:id="22"/>
      <w:bookmarkEnd w:id="23"/>
      <w:bookmarkEnd w:id="24"/>
      <w:bookmarkEnd w:id="25"/>
      <w:bookmarkEnd w:id="26"/>
    </w:p>
    <w:p w14:paraId="31EB124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成立清污行动总指挥部，成员与应急预案对应。总指挥部下设通讯保障组、岸线清污小组、海上溢油回收组、溢油监视组等四个小组，具体负责清污作业的开展。</w:t>
      </w:r>
      <w:bookmarkStart w:id="27" w:name="_Toc298434796"/>
      <w:bookmarkStart w:id="28" w:name="_Toc298434463"/>
    </w:p>
    <w:p w14:paraId="26831932">
      <w:pPr>
        <w:spacing w:line="500" w:lineRule="exact"/>
        <w:rPr>
          <w:rFonts w:hint="eastAsia"/>
        </w:rPr>
      </w:pPr>
      <w:r>
        <w:rPr>
          <w:rFonts w:hint="eastAsia"/>
        </w:rPr>
        <w:t xml:space="preserve">    </w:t>
      </w:r>
      <w:bookmarkStart w:id="29" w:name="_Toc25739"/>
      <w:bookmarkStart w:id="30" w:name="_Toc23148"/>
      <w:bookmarkStart w:id="31" w:name="_Toc3682"/>
      <w:r>
        <w:rPr>
          <w:rFonts w:hint="eastAsia"/>
        </w:rPr>
        <w:t>2.2清污行动总指挥部职责</w:t>
      </w:r>
      <w:bookmarkEnd w:id="27"/>
      <w:bookmarkEnd w:id="28"/>
      <w:bookmarkEnd w:id="29"/>
      <w:bookmarkEnd w:id="30"/>
      <w:bookmarkEnd w:id="31"/>
    </w:p>
    <w:p w14:paraId="63A6B307">
      <w:pPr>
        <w:spacing w:line="500" w:lineRule="exact"/>
        <w:rPr>
          <w:rFonts w:hint="eastAsia"/>
        </w:rPr>
      </w:pPr>
      <w:r>
        <w:rPr>
          <w:rFonts w:hint="eastAsia"/>
        </w:rPr>
        <w:t xml:space="preserve">    </w:t>
      </w:r>
      <w:bookmarkStart w:id="32" w:name="_Toc22268"/>
      <w:r>
        <w:rPr>
          <w:rFonts w:hint="eastAsia"/>
        </w:rPr>
        <w:t>2.2.1总指挥的职责</w:t>
      </w:r>
      <w:bookmarkEnd w:id="32"/>
    </w:p>
    <w:p w14:paraId="5C571C82">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bidi="ar"/>
        </w:rPr>
        <w:t xml:space="preserve">    1）</w:t>
      </w:r>
      <w:r>
        <w:rPr>
          <w:rFonts w:hint="eastAsia" w:ascii="仿宋" w:hAnsi="仿宋" w:eastAsia="仿宋" w:cs="仿宋"/>
          <w:color w:val="auto"/>
          <w:sz w:val="32"/>
          <w:szCs w:val="32"/>
          <w:lang w:val="zh-CN" w:bidi="ar"/>
        </w:rPr>
        <w:t xml:space="preserve">接受上级应急指挥中心的领导，请示并落实指令； </w:t>
      </w:r>
    </w:p>
    <w:p w14:paraId="3DED3C7F">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2）根据应急事件的程度、范围、规模和处理结果，下达预警和预警解除指令；</w:t>
      </w:r>
    </w:p>
    <w:p w14:paraId="41973D9E">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3）下达应急预案的启动和终止指令；</w:t>
      </w:r>
    </w:p>
    <w:p w14:paraId="6440CA73">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4）全面领导清污行动工作，监督各部门指令的实施；</w:t>
      </w:r>
    </w:p>
    <w:p w14:paraId="1C764418">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5）审定清污行动指导方案，协调各种应急资源。</w:t>
      </w:r>
    </w:p>
    <w:p w14:paraId="1192817D">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6）指挥清污行动，协调解决遇到的重大问题；</w:t>
      </w:r>
    </w:p>
    <w:p w14:paraId="115BB0F5">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7）确定现场指挥人员名单，并下达派出命令；</w:t>
      </w:r>
    </w:p>
    <w:p w14:paraId="01C8818E">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8）根据险情和灾情，提请上级有关部门紧急救助。</w:t>
      </w:r>
    </w:p>
    <w:p w14:paraId="0B03675D">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9）审查清污工作的考核结果；</w:t>
      </w:r>
    </w:p>
    <w:p w14:paraId="4CEC7176">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10）审批清污行动相关费用。</w:t>
      </w:r>
    </w:p>
    <w:p w14:paraId="7F9488DD">
      <w:pPr>
        <w:spacing w:line="500" w:lineRule="exact"/>
        <w:rPr>
          <w:rFonts w:hint="eastAsia" w:cs="仿宋"/>
          <w:kern w:val="0"/>
          <w:szCs w:val="32"/>
          <w:lang w:bidi="ar"/>
        </w:rPr>
      </w:pPr>
      <w:r>
        <w:rPr>
          <w:rFonts w:hint="eastAsia" w:cs="仿宋"/>
          <w:kern w:val="0"/>
          <w:szCs w:val="32"/>
          <w:lang w:val="zh-CN" w:bidi="ar"/>
        </w:rPr>
        <w:t xml:space="preserve">    </w:t>
      </w:r>
      <w:bookmarkStart w:id="33" w:name="_Toc20363"/>
      <w:r>
        <w:rPr>
          <w:rFonts w:hint="eastAsia" w:cs="仿宋"/>
          <w:kern w:val="0"/>
          <w:szCs w:val="32"/>
          <w:lang w:bidi="ar"/>
        </w:rPr>
        <w:t>2.2.2现场指挥的职责</w:t>
      </w:r>
      <w:bookmarkEnd w:id="33"/>
    </w:p>
    <w:p w14:paraId="7AC03603">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bidi="ar"/>
        </w:rPr>
        <w:t xml:space="preserve">    </w:t>
      </w:r>
      <w:r>
        <w:rPr>
          <w:rFonts w:hint="eastAsia" w:ascii="仿宋" w:hAnsi="仿宋" w:eastAsia="仿宋" w:cs="仿宋"/>
          <w:color w:val="auto"/>
          <w:sz w:val="32"/>
          <w:szCs w:val="32"/>
          <w:lang w:val="zh-CN" w:bidi="ar"/>
        </w:rPr>
        <w:t>1）按照总指挥指令，负责现场应急指挥工作；</w:t>
      </w:r>
    </w:p>
    <w:p w14:paraId="16E79F08">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2）落实清污行动方案，根据实际情况适时调整方案；</w:t>
      </w:r>
    </w:p>
    <w:p w14:paraId="668A3756">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3）及时向总指挥和上级部门汇报清污行动处置情况；</w:t>
      </w:r>
    </w:p>
    <w:p w14:paraId="24F5775E">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4）协调清污力量；</w:t>
      </w:r>
    </w:p>
    <w:p w14:paraId="0EA1EE29">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5）负责收集、整理清污处置过程中的有关资料；</w:t>
      </w:r>
    </w:p>
    <w:p w14:paraId="685E7AED">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6）根据清污处置情况，及时向总指挥请示应急终止；</w:t>
      </w:r>
    </w:p>
    <w:p w14:paraId="4B028165">
      <w:pPr>
        <w:pStyle w:val="9"/>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7）负责总指挥交办的其他任务。</w:t>
      </w:r>
    </w:p>
    <w:p w14:paraId="3BA4760C">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zh-CN" w:bidi="ar"/>
        </w:rPr>
        <w:t xml:space="preserve">    </w:t>
      </w:r>
      <w:r>
        <w:rPr>
          <w:rFonts w:hint="eastAsia" w:ascii="仿宋" w:hAnsi="仿宋" w:eastAsia="仿宋" w:cs="仿宋"/>
          <w:color w:val="auto"/>
          <w:sz w:val="32"/>
          <w:szCs w:val="32"/>
          <w:lang w:bidi="ar"/>
        </w:rPr>
        <w:t>应急指挥部下设如下几个小组，其清污作业期间的职责如下：</w:t>
      </w:r>
    </w:p>
    <w:p w14:paraId="0EA5F2F7">
      <w:pPr>
        <w:spacing w:line="500" w:lineRule="exact"/>
        <w:rPr>
          <w:rFonts w:hint="eastAsia"/>
        </w:rPr>
      </w:pPr>
      <w:r>
        <w:rPr>
          <w:rFonts w:hint="eastAsia"/>
        </w:rPr>
        <w:t xml:space="preserve">   </w:t>
      </w:r>
      <w:bookmarkStart w:id="34" w:name="_Toc4903"/>
      <w:r>
        <w:rPr>
          <w:rFonts w:hint="eastAsia"/>
        </w:rPr>
        <w:t>2.2.3通讯保障组职责</w:t>
      </w:r>
      <w:bookmarkEnd w:id="34"/>
    </w:p>
    <w:p w14:paraId="51DD015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保障指挥部与清污行动工作现场的通讯联络畅通，做好上传下达工作，及时处理通讯故障。</w:t>
      </w:r>
    </w:p>
    <w:p w14:paraId="6F1A1F6D">
      <w:pPr>
        <w:spacing w:line="500" w:lineRule="exact"/>
        <w:rPr>
          <w:rFonts w:hint="eastAsia"/>
        </w:rPr>
      </w:pPr>
      <w:r>
        <w:rPr>
          <w:rFonts w:hint="eastAsia"/>
        </w:rPr>
        <w:t xml:space="preserve">    </w:t>
      </w:r>
      <w:bookmarkStart w:id="35" w:name="_Toc10665"/>
      <w:r>
        <w:rPr>
          <w:rFonts w:hint="eastAsia"/>
        </w:rPr>
        <w:t>2.2.4岸线清污小组职责</w:t>
      </w:r>
      <w:bookmarkEnd w:id="35"/>
    </w:p>
    <w:p w14:paraId="2D21ABD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按照岸线清污方案，根据不同的岸线采取不同的保护和清除措施，考虑岸线优先保护次序和岸线的具体情况，采取必要的围控等措施，防止着岸溢油重新回到水中污染其它岸线。清除作业中应注意防止对岸线造成更大的损害。</w:t>
      </w:r>
    </w:p>
    <w:p w14:paraId="0AC5CF74">
      <w:pPr>
        <w:spacing w:line="500" w:lineRule="exact"/>
        <w:rPr>
          <w:rFonts w:hint="eastAsia"/>
        </w:rPr>
      </w:pPr>
      <w:r>
        <w:rPr>
          <w:rFonts w:hint="eastAsia"/>
        </w:rPr>
        <w:t xml:space="preserve">    </w:t>
      </w:r>
      <w:bookmarkStart w:id="36" w:name="_Toc18065"/>
      <w:r>
        <w:rPr>
          <w:rFonts w:hint="eastAsia"/>
        </w:rPr>
        <w:t>2.2.5海上溢油回收组职责</w:t>
      </w:r>
      <w:bookmarkEnd w:id="36"/>
    </w:p>
    <w:p w14:paraId="48D3C6D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按照海上污染物回收和清除方案，根据不同的水域环境和不同的油种，采用收油机等机械装置、吸油材料、溢油分散剂等多种手段将油从水面分离出来，利用现有的设备、装备、器材、材料，充分发挥作用，提高溢油回收效率。</w:t>
      </w:r>
    </w:p>
    <w:p w14:paraId="40E60A15">
      <w:pPr>
        <w:spacing w:line="500" w:lineRule="exact"/>
        <w:rPr>
          <w:rFonts w:hint="eastAsia"/>
        </w:rPr>
      </w:pPr>
      <w:r>
        <w:rPr>
          <w:rFonts w:hint="eastAsia"/>
        </w:rPr>
        <w:t xml:space="preserve">    </w:t>
      </w:r>
      <w:bookmarkStart w:id="37" w:name="_Toc321"/>
      <w:r>
        <w:rPr>
          <w:rFonts w:hint="eastAsia"/>
        </w:rPr>
        <w:t>2.2.6溢油监视组职责</w:t>
      </w:r>
      <w:bookmarkEnd w:id="37"/>
    </w:p>
    <w:p w14:paraId="0D66641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利用溢油漂移软件预测、船载溢油跟踪雷达、无人机和辅助溢油巡查船舶对大面积污染区和油迹进行多手段、全天候预测、监测和跟踪，为清污行动决策提供信息支持，增强决策的科学性，提高清污处置效率。</w:t>
      </w:r>
      <w:bookmarkStart w:id="38" w:name="_Toc298434797"/>
      <w:bookmarkStart w:id="39" w:name="_Toc298434464"/>
    </w:p>
    <w:p w14:paraId="5F84E1CD">
      <w:pPr>
        <w:spacing w:line="500" w:lineRule="exact"/>
        <w:rPr>
          <w:rFonts w:hint="eastAsia"/>
        </w:rPr>
      </w:pPr>
      <w:r>
        <w:rPr>
          <w:rFonts w:hint="eastAsia"/>
        </w:rPr>
        <w:t xml:space="preserve">    </w:t>
      </w:r>
      <w:bookmarkStart w:id="40" w:name="_Toc25639"/>
      <w:bookmarkStart w:id="41" w:name="_Toc17638"/>
      <w:bookmarkStart w:id="42" w:name="_Toc30188"/>
      <w:r>
        <w:rPr>
          <w:rFonts w:hint="eastAsia"/>
        </w:rPr>
        <w:t>2.3通讯联络</w:t>
      </w:r>
      <w:bookmarkEnd w:id="38"/>
      <w:bookmarkEnd w:id="39"/>
      <w:bookmarkEnd w:id="40"/>
      <w:bookmarkEnd w:id="41"/>
      <w:bookmarkEnd w:id="42"/>
    </w:p>
    <w:p w14:paraId="07B7AB5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中心生产指挥中心龙口调度室设有如下通讯设备，人员24小时值守：</w:t>
      </w:r>
    </w:p>
    <w:p w14:paraId="184463E7">
      <w:pPr>
        <w:spacing w:line="500" w:lineRule="exact"/>
        <w:rPr>
          <w:rFonts w:hint="eastAsia"/>
        </w:rPr>
      </w:pPr>
      <w:r>
        <w:rPr>
          <w:rFonts w:hint="eastAsia"/>
        </w:rPr>
        <w:t xml:space="preserve">    </w:t>
      </w:r>
      <w:bookmarkStart w:id="43" w:name="_Toc26379"/>
      <w:r>
        <w:rPr>
          <w:rFonts w:hint="eastAsia"/>
        </w:rPr>
        <w:t>2.3.1固定电话</w:t>
      </w:r>
      <w:bookmarkEnd w:id="43"/>
    </w:p>
    <w:p w14:paraId="3B8D4A8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生产指挥中心龙口调度室电话：0535-5949898、5949899；</w:t>
      </w:r>
    </w:p>
    <w:p w14:paraId="14E783EC">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2.3.2甚高频（14频道值守）1台，覆盖龙口及周边海域。</w:t>
      </w:r>
    </w:p>
    <w:p w14:paraId="608715F6">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2.3.3移动电话若干；</w:t>
      </w:r>
    </w:p>
    <w:p w14:paraId="4A4EEE4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2.3.4网络通讯可通过电脑接入宽带实现；</w:t>
      </w:r>
    </w:p>
    <w:p w14:paraId="7B0E25B9">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2.3.5清污作业现场可通过手持对讲机及应急船舶甚高频、单边带等方式实现。</w:t>
      </w:r>
      <w:bookmarkStart w:id="44" w:name="_Toc298434798"/>
      <w:bookmarkStart w:id="45" w:name="_Toc298434465"/>
      <w:bookmarkStart w:id="46" w:name="_Toc297910034"/>
    </w:p>
    <w:p w14:paraId="64614C07">
      <w:pPr>
        <w:pStyle w:val="3"/>
        <w:spacing w:line="500" w:lineRule="exact"/>
        <w:jc w:val="both"/>
        <w:rPr>
          <w:rFonts w:hint="eastAsia"/>
          <w:b/>
          <w:bCs w:val="0"/>
          <w:lang w:val="en-US" w:eastAsia="zh-CN"/>
        </w:rPr>
      </w:pPr>
      <w:bookmarkStart w:id="47" w:name="_Toc27774"/>
      <w:bookmarkStart w:id="48" w:name="_Toc7306"/>
      <w:bookmarkStart w:id="49" w:name="_Toc11937"/>
      <w:bookmarkStart w:id="50" w:name="_Toc3921"/>
      <w:r>
        <w:rPr>
          <w:rFonts w:hint="eastAsia"/>
          <w:b/>
          <w:bCs w:val="0"/>
          <w:lang w:val="en-US" w:eastAsia="zh-CN"/>
        </w:rPr>
        <w:t>3.污染描述及其主要控制方案</w:t>
      </w:r>
      <w:bookmarkEnd w:id="44"/>
      <w:bookmarkEnd w:id="45"/>
      <w:bookmarkEnd w:id="46"/>
      <w:bookmarkEnd w:id="47"/>
      <w:bookmarkEnd w:id="48"/>
      <w:bookmarkEnd w:id="49"/>
      <w:bookmarkEnd w:id="50"/>
    </w:p>
    <w:p w14:paraId="0C2843A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随着龙口及周边海域海上航运业的不断发展，以及周边海域液体化工、LNG运输量的逐年增大，船舶溢油事故特别是船舶搁浅和碰撞导致的溢油潜在风险较大。服务区域的主要船舶类型有油轮、拖轮、货轮、LNG船等，作业船舶的分布比较密集，一旦发生单次事件的溢油事故，会产生较大的溢油量，对海洋环境造成污染。</w:t>
      </w:r>
      <w:bookmarkStart w:id="51" w:name="_Toc297910035"/>
      <w:bookmarkStart w:id="52" w:name="_Toc298434466"/>
      <w:bookmarkStart w:id="53" w:name="_Toc298434799"/>
    </w:p>
    <w:p w14:paraId="5987D9C6">
      <w:pPr>
        <w:spacing w:line="500" w:lineRule="exact"/>
        <w:rPr>
          <w:rFonts w:hint="eastAsia"/>
        </w:rPr>
      </w:pPr>
      <w:bookmarkStart w:id="54" w:name="_Toc15444"/>
      <w:bookmarkStart w:id="55" w:name="_Toc26695"/>
      <w:bookmarkStart w:id="56" w:name="_Toc20781"/>
      <w:r>
        <w:rPr>
          <w:rFonts w:hint="eastAsia"/>
        </w:rPr>
        <w:t>3.1海上船舶产生溢油污染</w:t>
      </w:r>
      <w:bookmarkEnd w:id="51"/>
      <w:r>
        <w:rPr>
          <w:rFonts w:hint="eastAsia"/>
        </w:rPr>
        <w:t>的主要原因</w:t>
      </w:r>
      <w:bookmarkEnd w:id="52"/>
      <w:bookmarkEnd w:id="53"/>
      <w:bookmarkEnd w:id="54"/>
      <w:bookmarkEnd w:id="55"/>
      <w:bookmarkEnd w:id="56"/>
    </w:p>
    <w:p w14:paraId="6CB03D5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1）由于碰撞、起火、爆炸、触礁、搁浅、自然灾害等意外事故造成；</w:t>
      </w:r>
    </w:p>
    <w:p w14:paraId="54E8BB7D">
      <w:pPr>
        <w:spacing w:line="500" w:lineRule="exact"/>
        <w:rPr>
          <w:rFonts w:hint="eastAsia"/>
        </w:rPr>
      </w:pPr>
      <w:bookmarkStart w:id="57" w:name="_Toc4881"/>
      <w:r>
        <w:rPr>
          <w:rFonts w:hint="eastAsia"/>
        </w:rPr>
        <w:t>2）由于油分或含油污染物的违章外排造成；</w:t>
      </w:r>
      <w:bookmarkEnd w:id="57"/>
    </w:p>
    <w:p w14:paraId="02E1D4E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3）由于操作的失误造成，例如：油轮间过驳作业、船对船供油作业、船与码头之间油品装卸过程中的事故；及船上或陆上油库内的阀门操作失误而造成。</w:t>
      </w:r>
    </w:p>
    <w:p w14:paraId="3DB9C511">
      <w:pPr>
        <w:spacing w:line="500" w:lineRule="exact"/>
        <w:rPr>
          <w:rFonts w:hint="eastAsia"/>
        </w:rPr>
      </w:pPr>
      <w:bookmarkStart w:id="58" w:name="_Toc298434467"/>
      <w:bookmarkStart w:id="59" w:name="_Toc298434800"/>
      <w:bookmarkStart w:id="60" w:name="_Toc297910036"/>
      <w:bookmarkStart w:id="61" w:name="_Toc26736"/>
      <w:bookmarkStart w:id="62" w:name="_Toc28260"/>
      <w:bookmarkStart w:id="63" w:name="_Toc17909"/>
      <w:r>
        <w:rPr>
          <w:rFonts w:hint="eastAsia"/>
        </w:rPr>
        <w:t>3.2</w:t>
      </w:r>
      <w:bookmarkEnd w:id="58"/>
      <w:bookmarkEnd w:id="59"/>
      <w:bookmarkEnd w:id="60"/>
      <w:r>
        <w:rPr>
          <w:rFonts w:hint="eastAsia"/>
        </w:rPr>
        <w:t>船舶碰撞、触礁、搁浅污染控制方案</w:t>
      </w:r>
      <w:bookmarkEnd w:id="61"/>
      <w:bookmarkEnd w:id="62"/>
      <w:bookmarkEnd w:id="63"/>
    </w:p>
    <w:p w14:paraId="40E254D9">
      <w:pPr>
        <w:spacing w:line="500" w:lineRule="exact"/>
        <w:rPr>
          <w:rFonts w:hint="eastAsia"/>
        </w:rPr>
      </w:pPr>
      <w:r>
        <w:rPr>
          <w:rFonts w:hint="eastAsia"/>
        </w:rPr>
        <w:t xml:space="preserve">    </w:t>
      </w:r>
      <w:bookmarkStart w:id="64" w:name="_Toc10207"/>
      <w:r>
        <w:rPr>
          <w:rFonts w:hint="eastAsia"/>
        </w:rPr>
        <w:t>3.2.1溢油应急设备配置</w:t>
      </w:r>
      <w:bookmarkEnd w:id="64"/>
    </w:p>
    <w:p w14:paraId="1F26567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专用溢油回收船2艘，为胜利212、503船；辅助船舶8艘，为胜利151、242、252、618</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val="en-US" w:eastAsia="zh-CN" w:bidi="ar"/>
        </w:rPr>
        <w:t>265、266、267、268</w:t>
      </w:r>
      <w:r>
        <w:rPr>
          <w:rFonts w:hint="eastAsia" w:ascii="仿宋" w:hAnsi="仿宋" w:eastAsia="仿宋" w:cs="仿宋"/>
          <w:color w:val="auto"/>
          <w:sz w:val="32"/>
          <w:szCs w:val="32"/>
          <w:lang w:bidi="ar"/>
        </w:rPr>
        <w:t>船。</w:t>
      </w:r>
    </w:p>
    <w:p w14:paraId="161AD60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2000型充气围油栏800米、远海充气围油栏800米、1500型充气围油栏400米、固体围油栏橡胶900型</w:t>
      </w:r>
      <w:r>
        <w:rPr>
          <w:rFonts w:hint="eastAsia" w:ascii="仿宋" w:hAnsi="仿宋" w:eastAsia="仿宋" w:cs="仿宋"/>
          <w:color w:val="auto"/>
          <w:sz w:val="32"/>
          <w:szCs w:val="32"/>
          <w:lang w:val="en-US" w:eastAsia="zh-CN" w:bidi="ar"/>
        </w:rPr>
        <w:t>30</w:t>
      </w:r>
      <w:r>
        <w:rPr>
          <w:rFonts w:hint="eastAsia" w:ascii="仿宋" w:hAnsi="仿宋" w:eastAsia="仿宋" w:cs="仿宋"/>
          <w:color w:val="auto"/>
          <w:sz w:val="32"/>
          <w:szCs w:val="32"/>
          <w:lang w:bidi="ar"/>
        </w:rPr>
        <w:t>00米、柔性快布围油栏400米、固体围油栏</w:t>
      </w:r>
      <w:r>
        <w:rPr>
          <w:rFonts w:hint="eastAsia" w:ascii="仿宋" w:hAnsi="仿宋" w:eastAsia="仿宋" w:cs="仿宋"/>
          <w:color w:val="auto"/>
          <w:sz w:val="32"/>
          <w:szCs w:val="32"/>
          <w:lang w:val="en-US" w:eastAsia="zh-CN" w:bidi="ar"/>
        </w:rPr>
        <w:t>6</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30</w:t>
      </w:r>
      <w:r>
        <w:rPr>
          <w:rFonts w:hint="eastAsia" w:ascii="仿宋" w:hAnsi="仿宋" w:eastAsia="仿宋" w:cs="仿宋"/>
          <w:color w:val="auto"/>
          <w:sz w:val="32"/>
          <w:szCs w:val="32"/>
          <w:lang w:bidi="ar"/>
        </w:rPr>
        <w:t>00米、吸油围油栏WGP600型</w:t>
      </w:r>
      <w:r>
        <w:rPr>
          <w:rFonts w:hint="eastAsia" w:ascii="仿宋" w:hAnsi="仿宋" w:eastAsia="仿宋" w:cs="仿宋"/>
          <w:color w:val="auto"/>
          <w:sz w:val="32"/>
          <w:szCs w:val="32"/>
          <w:lang w:val="en-US" w:eastAsia="zh-CN" w:bidi="ar"/>
        </w:rPr>
        <w:t>1</w:t>
      </w:r>
      <w:r>
        <w:rPr>
          <w:rFonts w:hint="eastAsia" w:ascii="仿宋" w:hAnsi="仿宋" w:eastAsia="仿宋" w:cs="仿宋"/>
          <w:color w:val="auto"/>
          <w:sz w:val="32"/>
          <w:szCs w:val="32"/>
          <w:lang w:bidi="ar"/>
        </w:rPr>
        <w:t>000米、防火围油栏400米。</w:t>
      </w:r>
    </w:p>
    <w:p w14:paraId="777A6F8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劳模LSC-3C/2300侧挂收油机2套、溢油与垃圾回收模块</w:t>
      </w:r>
      <w:bookmarkStart w:id="199" w:name="_GoBack"/>
      <w:bookmarkEnd w:id="199"/>
      <w:r>
        <w:rPr>
          <w:rFonts w:hint="eastAsia" w:ascii="仿宋" w:hAnsi="仿宋" w:eastAsia="仿宋" w:cs="仿宋"/>
          <w:color w:val="auto"/>
          <w:sz w:val="32"/>
          <w:szCs w:val="32"/>
          <w:lang w:bidi="ar"/>
        </w:rPr>
        <w:t>MS200</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海洋鬼怪盘式收油机1套、大型堰式收油机1套、岩石收油机1套、船用喷洒装置4套、手持喷洒装置8台、冷热水高压清洗装置6套、应急卸载泵1套。</w:t>
      </w:r>
    </w:p>
    <w:p w14:paraId="5FAD73C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吸油拖栏4000米、吸油毡4.8吨、溢油分散剂8吨。</w:t>
      </w:r>
    </w:p>
    <w:p w14:paraId="69CB4BBB">
      <w:pPr>
        <w:spacing w:line="500" w:lineRule="exact"/>
        <w:rPr>
          <w:rFonts w:hint="eastAsia"/>
        </w:rPr>
      </w:pPr>
      <w:bookmarkStart w:id="65" w:name="_Toc14561"/>
      <w:r>
        <w:rPr>
          <w:rFonts w:hint="eastAsia"/>
        </w:rPr>
        <w:t>3.2.2应急程序</w:t>
      </w:r>
      <w:bookmarkEnd w:id="65"/>
    </w:p>
    <w:p w14:paraId="497AE4D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1）船舶发生碰撞、触礁、搁浅导致溢油事故，必须采取有效措施控制和减轻油类的溢出和污染，及时向海事行政主管部门报告，并接受调查、处理。</w:t>
      </w:r>
    </w:p>
    <w:p w14:paraId="25B20F0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各级海事行政主管机构和清污行动总指挥部是接受报告的首要部门，船舶发生事故首先向相距最近的海事行政主管机构报告，溢油事故报告来自以下各个方面：</w:t>
      </w:r>
    </w:p>
    <w:p w14:paraId="656FF4C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a）事故责任方的负责人(如船长)和其他人员；</w:t>
      </w:r>
    </w:p>
    <w:p w14:paraId="69D1FF8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b）海上巡视船舶和飞机；</w:t>
      </w:r>
    </w:p>
    <w:p w14:paraId="3B2C1E2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c）海上溢油卫星遥感监测；</w:t>
      </w:r>
    </w:p>
    <w:p w14:paraId="70F5935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d）事故周围的船舶；</w:t>
      </w:r>
    </w:p>
    <w:p w14:paraId="3B4EDD6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e）在海上或岸边发现溢油的任何单位和个人；</w:t>
      </w:r>
    </w:p>
    <w:p w14:paraId="18EFA66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f）成员单位和其他单位的转报。</w:t>
      </w:r>
    </w:p>
    <w:p w14:paraId="2ECBB78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2)当船舶发生碰撞、触礁、搁浅事故导致溢油时，责任者或目击者应立即向海洋应急中心报告以下内容：</w:t>
      </w:r>
    </w:p>
    <w:p w14:paraId="6B1F685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a）事故船舶状况、溢油部位；</w:t>
      </w:r>
    </w:p>
    <w:p w14:paraId="1AFC29C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b）溢油海区位置，现场海流方向，流速，浪高和溢油量以及风速、风向等气象情况；</w:t>
      </w:r>
    </w:p>
    <w:p w14:paraId="544529F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c）溢油的控制情况，被污染海区面积；</w:t>
      </w:r>
    </w:p>
    <w:p w14:paraId="550120A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d）溢油的物理性质。</w:t>
      </w:r>
    </w:p>
    <w:p w14:paraId="51F355B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污行动总指挥部根据溢油源的类型、溢出油的种类、事故的地点、事故原因、气象、水流等，评估溢油的可能规模，初步预测溢油的扩展趋向；对溢油发生火灾、爆炸的可能性进行评估；评估溢油对自然环境、人身安全、公众健康构成的威胁；评估溢油对周围环境敏感区和易受损害资源可能造成的影响。</w:t>
      </w:r>
    </w:p>
    <w:p w14:paraId="3A4438A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4）清污行动总指挥部根据油污的溢出量、可能造成的环境影响和所需要的应急反应的规模，确定事故应急等级，成立清污应急现场指挥部，安排适当的应急指挥人员。现场指挥由清污行动总指挥部指定。</w:t>
      </w:r>
    </w:p>
    <w:p w14:paraId="4BB04CE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5）现场指挥负责现场落实清污行动总指挥部的指令，及时反馈现场处置信息至总指挥部，做好清污应急反应行动的全过程的现场指挥工作。</w:t>
      </w:r>
    </w:p>
    <w:p w14:paraId="6E9B274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成立清污行动咨询专家组，包括海事、环保、溢油防治、救捞、消防、航运、水文、气象、抢险等方面专家组成的专家组。咨询专家组对溢油应急反应行动及时提供专业咨询，对清污行动处理提供参考意见，对未来的海上清污应急行动提出改进措施和方案。</w:t>
      </w:r>
    </w:p>
    <w:p w14:paraId="4EDD177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7）清污应急反应组由海洋应急中心、应急船舶等单位组成。船舶溢油事故发生后根据总指挥部的决策，具体组织溢油应急反应行动。</w:t>
      </w:r>
    </w:p>
    <w:p w14:paraId="79C76DC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应急后勤保障组由生产指挥中心、技术管理中心、船员服务中心、胜利社区卫生服务站、车辆管理中心船舶分部等单位组成。船舶溢油事故发生后根据总指挥部的要求，安排好清污行动的通信技术支持、物资供应、车辆服务、医疗救助、食住、供应等事项。</w:t>
      </w:r>
    </w:p>
    <w:p w14:paraId="26AE17C2">
      <w:pPr>
        <w:pStyle w:val="9"/>
        <w:snapToGrid w:val="0"/>
        <w:spacing w:line="500" w:lineRule="exact"/>
        <w:ind w:firstLine="640" w:firstLineChars="200"/>
        <w:jc w:val="both"/>
        <w:rPr>
          <w:rFonts w:ascii="仿宋" w:hAnsi="仿宋" w:eastAsia="仿宋" w:cs="仿宋"/>
          <w:color w:val="auto"/>
          <w:sz w:val="32"/>
          <w:szCs w:val="32"/>
          <w:lang w:bidi="ar"/>
        </w:rPr>
      </w:pPr>
      <w:r>
        <w:rPr>
          <w:rFonts w:hint="eastAsia" w:ascii="仿宋" w:hAnsi="仿宋" w:eastAsia="仿宋" w:cs="仿宋"/>
          <w:color w:val="auto"/>
          <w:sz w:val="32"/>
          <w:szCs w:val="32"/>
          <w:lang w:bidi="ar"/>
        </w:rPr>
        <w:t>3.2.3应急响应</w:t>
      </w:r>
    </w:p>
    <w:p w14:paraId="05D06B4C">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1）海洋应急中心值班室接到通知后，立即向清污应急现场指挥部办公室汇报，同时通知溢油回收站进入应急状态，做好出海清污行动准备；船舶调度室通知相关船舶备车，做好出海准备。</w:t>
      </w:r>
    </w:p>
    <w:p w14:paraId="53F70452">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溢油回收站接到通知后，值班干部拉警铃，迅速集合队伍下达任务，紧急准备所需器材、设备；出海人员迅速穿上救生衣、安全帽、工衣、工鞋等劳保装备，将收油机、围油栏、吸油毡、溢油分散剂等设备、装备、材料、工具装船，携带岗位工具，经点名排队登船，赶赴事故现场。</w:t>
      </w:r>
    </w:p>
    <w:p w14:paraId="15E7C6D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3）根据现场需要向海事管理机构申请对事故海域施行警戒或交通管制、停止渔业作业等活动。</w:t>
      </w:r>
    </w:p>
    <w:p w14:paraId="502E2B4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4）派出具备消防功能的船舶，承担对事故船舶的火灾预防与监护工作。</w:t>
      </w:r>
    </w:p>
    <w:p w14:paraId="3B7C980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5）通知可能受油污损害的自然保护区、水产养殖区、旅游区域，并采取预防和控制措施。</w:t>
      </w:r>
    </w:p>
    <w:p w14:paraId="46278679">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6）通知地方海事、环保监测、水文、气象等单位，及时、全面地监测事故所在区域水体、底质、大气、生态等环境状况。</w:t>
      </w:r>
    </w:p>
    <w:p w14:paraId="7B395239">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7）现场指挥到达事故现场后应立即采取以下应急行动：</w:t>
      </w:r>
    </w:p>
    <w:p w14:paraId="29AEBF4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a）确定溢油事故现场的准确地点和溢油原因（包括船名、船型、碰撞/搁浅、船东/货主），及时向清污行动总指挥部报告，同时组织紧急处置。</w:t>
      </w:r>
    </w:p>
    <w:p w14:paraId="5C03489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b）及时报告溢油种类、溢油事故的规模（包括油迹的长、宽、形状、颜色），现场风速、水流状况及浮油漂流动向，组织必要的监视监测，并定时（一般为10分钟）向清污行动总指挥部报告溢油漂流动向。</w:t>
      </w:r>
    </w:p>
    <w:p w14:paraId="791C3D8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c）及时根据现场情况预测并报告进一步溢油的可能性，判断溢油应急反应等级，责令责任方采取可能做到的一切防溢油措施，要求相应应急队伍及物资、装备迅速到位。</w:t>
      </w:r>
    </w:p>
    <w:p w14:paraId="384DF71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d）溢油应急队伍及装备到达现场后，组织指挥现场溢油围控和清除，并根据溢出油种类、规模、地点、扩散方向采取相应的防治措施。</w:t>
      </w:r>
    </w:p>
    <w:p w14:paraId="5B35CF1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e）采取任何应急反应行动，均应根据溢油规模和可能造成的危害，确定相应的应急等级，并及时报告清污行动总指挥部。</w:t>
      </w:r>
    </w:p>
    <w:p w14:paraId="04E6FA5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8）特大规模应急反应时，请求海关、边防、国检等部门简化境外支援设备的进口手续，加急办理设备关税与边境许可证，办理护照、签证等方面予以方便。</w:t>
      </w:r>
    </w:p>
    <w:p w14:paraId="6DD5CC6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9）根据现场情况由现场应急领导小组迅速制定清污应急处理指导方案，清污作业单位据此展开工作，及时对溢油进行控制与清除。</w:t>
      </w:r>
    </w:p>
    <w:p w14:paraId="6407DEE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选择适宜对策在条件允许的情况下，应尽量围控、回收或清除水面溢油，防止其漂及岸边，污染岸线。根据不同的环境条件（风、浪、流、温度、环境敏感资源）和溢油特性（黏度、挥发性、溶解度、油膜厚度、风化程度等），选择适当的水面和岸上清除对策。选择清污对策时，必须考虑是否具有专门或替代的设备、器材和材料，同时还要考虑相应的辅助设施及配套设备，如：围油栏拖带船及指挥船、回收油接收设施、溢油分散剂喷洒设备和载带船舶、回收废油及污染物的处置设施等。</w:t>
      </w:r>
    </w:p>
    <w:p w14:paraId="0AF1362A">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3.2.4清污行动</w:t>
      </w:r>
    </w:p>
    <w:p w14:paraId="69D0277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立即组织现场警戒，对海域水深、船舶结构、舱内液位、当前倾角、搁浅位置等情况进行核实，分析事故船舶险情发展状态，存在下沉、侧翻及其他危险的，应立即发出指令，采取辅助船舶侧顶、拖带等固定方式，防止事故船舶漂移。事故船舶关闭非必要油阀，具备堵漏条件的进行堵漏，控制溢油源。围绕事故船舶布设固体式围油栏围控溢油。</w:t>
      </w:r>
    </w:p>
    <w:p w14:paraId="6408A03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2）在事故区域主流向两侧布设固体式围油栏600米，拦截溢油带防止其继续扩散。</w:t>
      </w:r>
    </w:p>
    <w:p w14:paraId="26F71CF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3）若油舱发生破损导致油类泄漏，根据现场情况可考虑利用大功率驳油泵进行过驳，驳至溢油应急船舶或其他辅助船舶。</w:t>
      </w:r>
    </w:p>
    <w:p w14:paraId="79A35E9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4）在事故区域下流施放充气式围油栏400米，用两条船舶牵引成“U”形或“J”形逆流行驶扫油。</w:t>
      </w:r>
    </w:p>
    <w:p w14:paraId="053CD75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利用围油栏围控完毕后，可利用各类收油机、收油机对围控住的溢油进行回收。溢油集中到围油栏底部后，使用胜利212船释放溢油工作艇、下行带式收油机、船侧挂收油机、多功能收油机进行收油，胜利503船启动船载收油机沿溢油带顶流收油，并将回收的污油及时存放到快装罐或污油舱内。</w:t>
      </w:r>
    </w:p>
    <w:p w14:paraId="392BB68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6）使用吸附材料处理残油。少量零星残油利用喷洒机喷洒溢油分散剂进行清除。</w:t>
      </w:r>
    </w:p>
    <w:p w14:paraId="7E96041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7）确认油污水接收设施及废水处理设备随时运转良好。</w:t>
      </w:r>
    </w:p>
    <w:p w14:paraId="446ECA5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根据现场的溢油量多少，清污行动往往会持续一段时间，在此期间要通过模拟软件、监测船舶、船载溢油雷达监测系统等做好对溢油源和溢油的监测、监视工作；及时掌握气象信息及近期气象预报趋势；根据溢油应急工作的需要，随时保证通信联络畅通；及时掌握事故现场和溢油可能漂移水域的航道、水文气象情况。</w:t>
      </w:r>
    </w:p>
    <w:p w14:paraId="68D0F4C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9）发生重（特）大溢油事故时，要及时向上一级溢油应急指挥部请求应急援助，并通知有关政府部门、企业、附近居民开展预防溢油污染的应急反应行动。</w:t>
      </w:r>
    </w:p>
    <w:p w14:paraId="315E318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10）清污行动总指挥部根据溢油应急反应进展情况宣布应急反应结束，总指挥部根据职责分工进行调查，有关污染损害材料尽快汇总上报。</w:t>
      </w:r>
    </w:p>
    <w:p w14:paraId="3169465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11）应急工作结束，回收设备，清理甲板，清点人员，返航，进行战评总结。总结报告应包括以下几方面的内容：</w:t>
      </w:r>
    </w:p>
    <w:p w14:paraId="2489CCE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·检查参加单位出动及配合情况；</w:t>
      </w:r>
    </w:p>
    <w:p w14:paraId="0C9217F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·清点动用的器材、设备及回收情况，将设备和器材进行清洗和维修；</w:t>
      </w:r>
    </w:p>
    <w:p w14:paraId="5D30EFB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·清点、归还临时调用的设备、器材；</w:t>
      </w:r>
    </w:p>
    <w:p w14:paraId="23FC084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·对清除效果进行评估；</w:t>
      </w:r>
    </w:p>
    <w:p w14:paraId="72DB1711">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·总结经验，提出对应急反应的修改意见；</w:t>
      </w:r>
    </w:p>
    <w:p w14:paraId="3109A9E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·书写清污处理报告，上报有关部门存档。</w:t>
      </w:r>
    </w:p>
    <w:p w14:paraId="6EE6B35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12）环境污染状况监测由具有环境监测资质的监测中心检测，并出具监测报告，作为索赔依据。</w:t>
      </w:r>
    </w:p>
    <w:p w14:paraId="781567BE">
      <w:pPr>
        <w:spacing w:line="500" w:lineRule="exact"/>
        <w:rPr>
          <w:rFonts w:hint="eastAsia"/>
        </w:rPr>
      </w:pPr>
      <w:bookmarkStart w:id="66" w:name="_Toc26559"/>
      <w:bookmarkStart w:id="67" w:name="_Toc25238"/>
      <w:bookmarkStart w:id="68" w:name="_Toc11802"/>
      <w:r>
        <w:rPr>
          <w:rFonts w:hint="eastAsia"/>
        </w:rPr>
        <w:t>3.3船舶起火、爆炸污染控制方案</w:t>
      </w:r>
      <w:bookmarkEnd w:id="66"/>
      <w:bookmarkEnd w:id="67"/>
      <w:bookmarkEnd w:id="68"/>
    </w:p>
    <w:p w14:paraId="39F19ED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与船舶碰撞、触礁、搁浅导致的污染相比，船舶发生起火、爆炸等情况时，首先应对事故船舶进行消防灭火，使用的设备、设施的防火、防爆等级提升。</w:t>
      </w:r>
    </w:p>
    <w:p w14:paraId="1219B3B5">
      <w:pPr>
        <w:spacing w:line="500" w:lineRule="exact"/>
        <w:rPr>
          <w:rFonts w:hint="eastAsia"/>
        </w:rPr>
      </w:pPr>
      <w:r>
        <w:rPr>
          <w:rFonts w:hint="eastAsia"/>
        </w:rPr>
        <w:t xml:space="preserve">    </w:t>
      </w:r>
      <w:bookmarkStart w:id="69" w:name="_Toc21277"/>
      <w:r>
        <w:rPr>
          <w:rFonts w:hint="eastAsia"/>
        </w:rPr>
        <w:t>3.3.1溢油应急设备配置</w:t>
      </w:r>
      <w:bookmarkEnd w:id="69"/>
    </w:p>
    <w:p w14:paraId="6CA0FE03">
      <w:pPr>
        <w:pStyle w:val="9"/>
        <w:snapToGrid w:val="0"/>
        <w:spacing w:line="500" w:lineRule="exact"/>
        <w:ind w:firstLine="640" w:firstLineChars="200"/>
        <w:jc w:val="both"/>
        <w:rPr>
          <w:rFonts w:hint="eastAsia" w:ascii="仿宋" w:hAnsi="仿宋" w:eastAsia="仿宋" w:cs="仿宋"/>
          <w:color w:val="auto"/>
          <w:sz w:val="32"/>
          <w:szCs w:val="32"/>
          <w:lang w:bidi="ar"/>
        </w:rPr>
      </w:pPr>
      <w:bookmarkStart w:id="70" w:name="_Toc7610"/>
      <w:r>
        <w:rPr>
          <w:rFonts w:hint="eastAsia" w:ascii="仿宋" w:hAnsi="仿宋" w:eastAsia="仿宋" w:cs="仿宋"/>
          <w:color w:val="auto"/>
          <w:sz w:val="32"/>
          <w:szCs w:val="32"/>
          <w:lang w:bidi="ar"/>
        </w:rPr>
        <w:t>专用溢油回收船2艘，为胜利212、503船；辅助船舶8艘，为胜利151、242、252、618</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val="en-US" w:eastAsia="zh-CN" w:bidi="ar"/>
        </w:rPr>
        <w:t>265、266、267、268</w:t>
      </w:r>
      <w:r>
        <w:rPr>
          <w:rFonts w:hint="eastAsia" w:ascii="仿宋" w:hAnsi="仿宋" w:eastAsia="仿宋" w:cs="仿宋"/>
          <w:color w:val="auto"/>
          <w:sz w:val="32"/>
          <w:szCs w:val="32"/>
          <w:lang w:bidi="ar"/>
        </w:rPr>
        <w:t>船。</w:t>
      </w:r>
    </w:p>
    <w:p w14:paraId="47BF6CD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2000型充气围油栏800米、远海充气围油栏800米、1500型充气围油栏400米、固体围油栏橡胶900型</w:t>
      </w:r>
      <w:r>
        <w:rPr>
          <w:rFonts w:hint="eastAsia" w:ascii="仿宋" w:hAnsi="仿宋" w:eastAsia="仿宋" w:cs="仿宋"/>
          <w:color w:val="auto"/>
          <w:sz w:val="32"/>
          <w:szCs w:val="32"/>
          <w:lang w:val="en-US" w:eastAsia="zh-CN" w:bidi="ar"/>
        </w:rPr>
        <w:t>30</w:t>
      </w:r>
      <w:r>
        <w:rPr>
          <w:rFonts w:hint="eastAsia" w:ascii="仿宋" w:hAnsi="仿宋" w:eastAsia="仿宋" w:cs="仿宋"/>
          <w:color w:val="auto"/>
          <w:sz w:val="32"/>
          <w:szCs w:val="32"/>
          <w:lang w:bidi="ar"/>
        </w:rPr>
        <w:t>00米、柔性快布围油栏400米、固体围油栏</w:t>
      </w:r>
      <w:r>
        <w:rPr>
          <w:rFonts w:hint="eastAsia" w:ascii="仿宋" w:hAnsi="仿宋" w:eastAsia="仿宋" w:cs="仿宋"/>
          <w:color w:val="auto"/>
          <w:sz w:val="32"/>
          <w:szCs w:val="32"/>
          <w:lang w:val="en-US" w:eastAsia="zh-CN" w:bidi="ar"/>
        </w:rPr>
        <w:t>6</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30</w:t>
      </w:r>
      <w:r>
        <w:rPr>
          <w:rFonts w:hint="eastAsia" w:ascii="仿宋" w:hAnsi="仿宋" w:eastAsia="仿宋" w:cs="仿宋"/>
          <w:color w:val="auto"/>
          <w:sz w:val="32"/>
          <w:szCs w:val="32"/>
          <w:lang w:bidi="ar"/>
        </w:rPr>
        <w:t>00米、吸油围油栏WGP600型</w:t>
      </w:r>
      <w:r>
        <w:rPr>
          <w:rFonts w:hint="eastAsia" w:ascii="仿宋" w:hAnsi="仿宋" w:eastAsia="仿宋" w:cs="仿宋"/>
          <w:color w:val="auto"/>
          <w:sz w:val="32"/>
          <w:szCs w:val="32"/>
          <w:lang w:val="en-US" w:eastAsia="zh-CN" w:bidi="ar"/>
        </w:rPr>
        <w:t>1</w:t>
      </w:r>
      <w:r>
        <w:rPr>
          <w:rFonts w:hint="eastAsia" w:ascii="仿宋" w:hAnsi="仿宋" w:eastAsia="仿宋" w:cs="仿宋"/>
          <w:color w:val="auto"/>
          <w:sz w:val="32"/>
          <w:szCs w:val="32"/>
          <w:lang w:bidi="ar"/>
        </w:rPr>
        <w:t>000米、防火围油栏400米。</w:t>
      </w:r>
    </w:p>
    <w:p w14:paraId="003DDBC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劳模LSC-3C/2300侧挂收油机2套、溢油与垃圾回收模块MS200</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海洋鬼怪盘式收油机1套、大型堰式收油机1套、岩石收油机1套、船用喷洒装置4套、手持喷洒装置8台、冷热水高压清洗装置6套、应急卸载泵1套。</w:t>
      </w:r>
    </w:p>
    <w:p w14:paraId="1D6C872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吸油拖栏4000米、吸油毡4.8吨、溢油分散剂8吨。</w:t>
      </w:r>
    </w:p>
    <w:p w14:paraId="2D30ECD9">
      <w:pPr>
        <w:spacing w:line="500" w:lineRule="exact"/>
        <w:rPr>
          <w:rFonts w:hint="eastAsia"/>
        </w:rPr>
      </w:pPr>
      <w:r>
        <w:rPr>
          <w:rFonts w:hint="eastAsia"/>
        </w:rPr>
        <w:t>3.3.2应急程序</w:t>
      </w:r>
      <w:bookmarkEnd w:id="70"/>
    </w:p>
    <w:p w14:paraId="7AD9B33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船舶发生起火、爆炸事故，事故船舶首先应启动消防预案进行灭火，无法控制时可启动弃船逃生预案，需及时向海事行政主管部门报告、求援。可能导致溢油事故的，必须近可能采取有效措施控制和减轻油类的溢出和污染。</w:t>
      </w:r>
    </w:p>
    <w:p w14:paraId="7E9EE5D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船舶发生起火、爆炸事故首先向相距最近的海事行政主管机构报告，事故报告来自以下各个方面：</w:t>
      </w:r>
    </w:p>
    <w:p w14:paraId="206047E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a）事故责任方的负责人(如船长)和其他人员；</w:t>
      </w:r>
    </w:p>
    <w:p w14:paraId="2F0737A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b）海上巡视船舶和飞机；</w:t>
      </w:r>
    </w:p>
    <w:p w14:paraId="3BF050D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c）事故周围的船舶；</w:t>
      </w:r>
    </w:p>
    <w:p w14:paraId="6206AC6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d）在海上或岸边发现船舶起火、爆炸的任何单位和个人；</w:t>
      </w:r>
    </w:p>
    <w:p w14:paraId="674A3CA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成员单位和其他单位的转报。</w:t>
      </w:r>
    </w:p>
    <w:p w14:paraId="47F5C7AD">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2）当船舶发生起火、爆炸事故时，责任者或目击者应立即向海事行政主管机构报告一下内容：</w:t>
      </w:r>
    </w:p>
    <w:p w14:paraId="5B6A63B7">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a）事故船舶状况、起火、爆炸部位，初步判断起火、爆炸原因，是否得到有效控制，是否已经弃船，船上人员状况，是否发生溢油；</w:t>
      </w:r>
    </w:p>
    <w:p w14:paraId="316528F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b）若发生溢油，需汇报溢油类型、溢油海区位置，现场海流方向，流速，浪高和溢油量，以及风速、风向等气象情况；</w:t>
      </w:r>
    </w:p>
    <w:p w14:paraId="1A80A30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c）采取的控制溢油措施，溢油的控制情况，被污染海区面积；</w:t>
      </w:r>
    </w:p>
    <w:p w14:paraId="30CA31C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d）溢油的物理性质。</w:t>
      </w:r>
    </w:p>
    <w:p w14:paraId="7FFA092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污行动总指挥部根据起火/爆炸控制情况、溢油源的类型、溢出油的种类、事故的地点、事故原因、气象、水流等，评估溢油的可能规模，初步预测溢油的扩展趋向；对事故船舶、溢油再次发生火灾、爆炸的可能性进行评估；评估溢油对自然环境、人身安全、公众健康构成的威胁；评估溢油对周围环境敏感区和易受损害资源可能造成的影响。</w:t>
      </w:r>
    </w:p>
    <w:p w14:paraId="2D5AF92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清污行动总指挥部根据船舶起火/爆炸情况、油污的溢出量、可能造成的环境影响和所需要的应急反应的规模，确定事故应急等级，安排适当的应急指挥人员。现场指挥负责现场落实清污行动总指挥部的指令，及时反馈现场处置信息至总指挥部，做好消防、清污应急反应行动的全过程的现场指挥工作。</w:t>
      </w:r>
    </w:p>
    <w:p w14:paraId="3568686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成立消防、清污行动咨询专家组，包括海事、环保、溢油防治、救捞、消防、航运、水文、气象、抢险等方面专家组成的专家组。咨询专家组对消防行动、溢油应急反应行动及时提供专业咨询，对消防、清污行动处理提供参考意见，对未来的海上清污应急行动提出改进措施和方案。</w:t>
      </w:r>
    </w:p>
    <w:p w14:paraId="3FF5EC7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6）消防、清污应急反应组由海洋应急中心、应急船舶、消防船舶等单位组成。船舶起火/爆炸、溢油事故发生后根据总指挥部的决策，具体组织应急反应行动。</w:t>
      </w:r>
    </w:p>
    <w:p w14:paraId="7EF1091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应急后勤保障组由生产指挥中心、技术管理中心、船员服务中心、胜利社区卫生服务站、车辆管理中心船舶分部等单位组成。船舶溢油事故发生后根据总指挥部的要求，安排好清污行动的通信技术支持、物资供应、车辆服务、医疗救助、食住供应等事项。</w:t>
      </w:r>
    </w:p>
    <w:p w14:paraId="0C675298">
      <w:pPr>
        <w:pStyle w:val="9"/>
        <w:snapToGrid w:val="0"/>
        <w:spacing w:line="500" w:lineRule="exact"/>
        <w:ind w:firstLine="640" w:firstLineChars="200"/>
        <w:jc w:val="both"/>
        <w:rPr>
          <w:rFonts w:ascii="仿宋" w:hAnsi="仿宋" w:eastAsia="仿宋" w:cs="仿宋"/>
          <w:color w:val="auto"/>
          <w:sz w:val="32"/>
          <w:szCs w:val="32"/>
          <w:lang w:bidi="ar"/>
        </w:rPr>
      </w:pPr>
      <w:r>
        <w:rPr>
          <w:rFonts w:hint="eastAsia" w:ascii="仿宋" w:hAnsi="仿宋" w:eastAsia="仿宋" w:cs="仿宋"/>
          <w:color w:val="auto"/>
          <w:sz w:val="32"/>
          <w:szCs w:val="32"/>
          <w:lang w:bidi="ar"/>
        </w:rPr>
        <w:t>3.3.3应急响应</w:t>
      </w:r>
    </w:p>
    <w:p w14:paraId="5DB990D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1）海洋应急中心值班室接到通知后，立即向清污应急现场指挥部办公室汇报，同时通知溢油回收站进入应急状态，做好出海清污行动准备；船舶调度室通知相关船舶备车，做好出海准备。</w:t>
      </w:r>
    </w:p>
    <w:p w14:paraId="2878B2A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溢油回收站接到通知后，值班干部拉警铃，迅速集合队伍下达任务，紧急准备所需器材、设备；出海人员迅速穿上救生衣、安全帽、工衣、工鞋等劳保装备，将收油机、围油栏、吸油毡、溢油分散剂等设备、装备、材料、工具装船，携带岗位工具，经点名排队登船，赶赴事故现场。</w:t>
      </w:r>
    </w:p>
    <w:p w14:paraId="70E17064">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3）根据现场需要向海事管理机构申请对事故海域施行警戒或交通管制、停止渔业作业等活动。</w:t>
      </w:r>
    </w:p>
    <w:p w14:paraId="1C18FE9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4）通会地方政府海上消防力量，共同进行火情扑救。所属3艘消防船到达现场根据实际情况启动船载消防炮，对起火/爆炸船舶进行消防灭火，确保火灾扑灭。</w:t>
      </w:r>
    </w:p>
    <w:p w14:paraId="4A3E9C7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5）通知可能受油污损害的自然保护区、水产养殖区、旅游区域，并采取预防和控制措施。</w:t>
      </w:r>
    </w:p>
    <w:p w14:paraId="363353E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6）通知地方海事、环保监测、水文、气象等单位，及时、全面地监测事故所在区域水体、底质、大气、生态等环境状况。</w:t>
      </w:r>
    </w:p>
    <w:p w14:paraId="0B27CCF2">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7）现场指挥到达事故现场后应立即采取以下应急行动：</w:t>
      </w:r>
    </w:p>
    <w:p w14:paraId="3649D1B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a）确定事故船舶起火/爆炸情况、判定起火部位、原因，及时指挥消防船舶灭火。</w:t>
      </w:r>
    </w:p>
    <w:p w14:paraId="57CAD00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b）确定是否发生油类泄漏，若发生确定溢油事故现场的准确地点和溢油原因（包括船名、船型、起火/爆炸、船东/货主），及时向清污行动总指挥部报告，同时组织紧急处置。</w:t>
      </w:r>
    </w:p>
    <w:p w14:paraId="4C9D4FA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及时报告火灾控制扑救情况、溢油种类、溢油事故的规模（包括油迹的长、宽、形状、颜色），现场风速、水流状况及浮油漂流动向，组织必要的监视监测，并定时（一般为10分钟）向清污行动总指挥部报告溢油漂流动向。</w:t>
      </w:r>
    </w:p>
    <w:p w14:paraId="47C49D4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及时根据现场情况预测并报告进一步溢油的可能性，判断溢油应急反应等级，责令责任方采取可能做到的一切防溢油措施，要求相应应急队伍及物资、装备迅速到位。</w:t>
      </w:r>
    </w:p>
    <w:p w14:paraId="644CC6C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d）溢油应急队伍及装备到达现场后，组织指挥现场溢油围控和清除，并根据溢出油种类、规模、地点、扩散方向采取相应的防治措施。</w:t>
      </w:r>
    </w:p>
    <w:p w14:paraId="0461BDF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e）采取任何应急反应行动，均应根据溢油规模和可能造成的危害，确定相应的应急等级，并及时报告清污行动总指挥部。</w:t>
      </w:r>
    </w:p>
    <w:p w14:paraId="4308FCC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8）特大规模应急反应时，请求海关、边防、国检等部门简化境外支援设备的进口手续，加急办理设备关税与边境许可证，办理护照、签证等方面予以方便。</w:t>
      </w:r>
    </w:p>
    <w:p w14:paraId="38D0DF7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9）根据现场情况由现场应急领导小组迅速制定清污应急处理指导方案，清污作业单位据此展开工作，及时对溢油进行控制与清除。</w:t>
      </w:r>
    </w:p>
    <w:p w14:paraId="6C0D50D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选择适宜对策在条件允许的情况下，应尽量围控、回收或清除水面溢油，防止其漂及岸边，污染岸线。根据不同的环境条件（风、浪、流、温度、环境敏感资源）和溢油特性（黏度、挥发性、溶解度、油膜厚度、风化程度等），选择适当的水面和岸上清除对策。选择清污对策时，必须考虑是否具有专门或替代的设备、器材和材料，同时还要考虑相应的辅助设施及配套设备，如：</w:t>
      </w:r>
    </w:p>
    <w:p w14:paraId="36D33ED1">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a）围油栏拖带船及指挥船。</w:t>
      </w:r>
    </w:p>
    <w:p w14:paraId="35E83D6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b）回收油接收设施。</w:t>
      </w:r>
    </w:p>
    <w:p w14:paraId="341DEB8E">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c）溢油分散剂喷洒设备和载带船舶。</w:t>
      </w:r>
    </w:p>
    <w:p w14:paraId="49B6463A">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d）回收废油及污染物的处置设施等。</w:t>
      </w:r>
    </w:p>
    <w:p w14:paraId="1BA5B65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3.3.4清污行动</w:t>
      </w:r>
    </w:p>
    <w:p w14:paraId="5B6EE779">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立即组织现场警戒，对海域水深、船舶结构、舱内液位、当前倾角、搁浅位置等情况进行核实，分析事故船舶险情发展状态，存在下沉、侧翻及其他危险的，应立即发出指令，采取辅助船舶侧顶、拖带等固定方式，防止事故船舶漂移。事故船舶关闭非必要油阀，具备堵漏条件的进行堵漏，控制溢油源。围绕事故船舶布设防火围油栏围控溢油。</w:t>
      </w:r>
    </w:p>
    <w:p w14:paraId="2E84DB62">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2）在事故区域主流向两侧布设防火围油栏600米，拦截溢油带防止其继续扩散。</w:t>
      </w:r>
    </w:p>
    <w:p w14:paraId="47E2E19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3）若油舱发生破损导致油类泄漏，根据现场情况可考虑利用大功率驳油泵进行过驳，驳至溢油应急船舶或其他辅助船舶。</w:t>
      </w:r>
    </w:p>
    <w:p w14:paraId="200694A1">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4）当火势得到控制后，在事故区域下流施放充气式围油栏400米，用两条船舶牵引成“U”形或“J”形逆流行驶扫油。</w:t>
      </w:r>
    </w:p>
    <w:p w14:paraId="156621B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5）利用围油栏围控完毕后，可利用各类收油机、收油机对围控住的溢油进行回收。溢油集中到围油栏底部后，使用胜利212释放溢油工作艇、下行带式收油机、船侧挂收油机、多功能收油机进行收油，胜利</w:t>
      </w:r>
      <w:r>
        <w:rPr>
          <w:rFonts w:hint="eastAsia" w:ascii="仿宋" w:hAnsi="仿宋" w:eastAsia="仿宋" w:cs="仿宋"/>
          <w:color w:val="auto"/>
          <w:sz w:val="32"/>
          <w:szCs w:val="32"/>
          <w:lang w:val="en-US" w:eastAsia="zh-CN" w:bidi="ar"/>
        </w:rPr>
        <w:t>503</w:t>
      </w:r>
      <w:r>
        <w:rPr>
          <w:rFonts w:hint="eastAsia" w:ascii="仿宋" w:hAnsi="仿宋" w:eastAsia="仿宋" w:cs="仿宋"/>
          <w:color w:val="auto"/>
          <w:sz w:val="32"/>
          <w:szCs w:val="32"/>
          <w:lang w:bidi="ar"/>
        </w:rPr>
        <w:t>船启动船载侧挂式收油机沿溢油带顶流收油，并将回收的污油及时存放到快装罐或污油舱内。</w:t>
      </w:r>
    </w:p>
    <w:p w14:paraId="4A468EE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6）使用吸附材料处理残油。少量零星残油利用喷洒机喷洒溢油分散剂进行清除。</w:t>
      </w:r>
    </w:p>
    <w:p w14:paraId="2215FFC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7）确认油污水接收设施及废水处理设备随时运转良好。</w:t>
      </w:r>
    </w:p>
    <w:p w14:paraId="3388F2D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根据现场的溢油量多少，清污行动往往会持续一段时间，在此期间要时刻做好溢油情况监测防止再次发生起火/爆炸事故，通过模拟软件、监测船舶、船载溢油雷达监测系统等做好对溢油源和溢油的监测、监视工作；及时掌握气象信息及近期气象预报趋势；根据溢油应急工作的需要，随时保证通信联络畅通；及时掌握事故现场和溢油可能漂移水域的航道、水文气象情况。</w:t>
      </w:r>
    </w:p>
    <w:p w14:paraId="5FC0334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9）发生重（特）大溢油事故时，要及时向上一级溢油应急指挥部请求应急援助，并通知有关政府部门、企业、附近居民开展预防溢油污染的应急反应行动。</w:t>
      </w:r>
    </w:p>
    <w:p w14:paraId="7494EEF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10）清污行动总指挥部根据溢油应急反应进展情况宣布应急反应结束，总指挥部根据职责分工进行调查，有关污染损害材料尽快汇总上报。</w:t>
      </w:r>
    </w:p>
    <w:p w14:paraId="0FE044F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11）应急工作结束，回收设备，清理甲板，清点人员，返航，进行战评总结。总结报告应包括以下几方面的内容：</w:t>
      </w:r>
    </w:p>
    <w:p w14:paraId="46C4773B">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·检查参加单位出动及配合情况；</w:t>
      </w:r>
    </w:p>
    <w:p w14:paraId="79C959C5">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·清点动用的器材、设备及回收情况，将设备和器材进行清洗和维修；</w:t>
      </w:r>
    </w:p>
    <w:p w14:paraId="43862F83">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·清点、归还临时调用的设备、器材；</w:t>
      </w:r>
    </w:p>
    <w:p w14:paraId="44F1BA94">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·对清除效果进行评估；</w:t>
      </w:r>
    </w:p>
    <w:p w14:paraId="4AB22EC4">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·总结经验，提出对应急反应的修改意见；</w:t>
      </w:r>
    </w:p>
    <w:p w14:paraId="185C391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·书写清污处理报告，上报有关部门存档。</w:t>
      </w:r>
    </w:p>
    <w:p w14:paraId="7185253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12）环境污染状况监测由具有环境监测资质的监测中心检测，并出具监测报告，作为索赔依据。</w:t>
      </w:r>
    </w:p>
    <w:p w14:paraId="087186B3">
      <w:pPr>
        <w:spacing w:line="500" w:lineRule="exact"/>
        <w:rPr>
          <w:rFonts w:hint="eastAsia"/>
        </w:rPr>
      </w:pPr>
      <w:r>
        <w:rPr>
          <w:rFonts w:hint="eastAsia"/>
        </w:rPr>
        <w:t xml:space="preserve">    </w:t>
      </w:r>
      <w:bookmarkStart w:id="71" w:name="_Toc31203"/>
      <w:r>
        <w:rPr>
          <w:rFonts w:hint="eastAsia"/>
        </w:rPr>
        <w:t>3.3.5注意事项</w:t>
      </w:r>
      <w:bookmarkEnd w:id="71"/>
    </w:p>
    <w:p w14:paraId="7EC0CEDF">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1）作业开展前，要做好作业区域有毒有害气体如硫化氢等及易燃气体的检测，确保安全后，方可实施作业。</w:t>
      </w:r>
    </w:p>
    <w:p w14:paraId="2BCAFAC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2）参与清污行动的设备、器材均应满足防火、防爆要求，人员均不许在作业现场使用明火。</w:t>
      </w:r>
    </w:p>
    <w:p w14:paraId="60E37C9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3）处理出海作业人员要按照作业规定正确穿戴劳动保护用品，包括：安全帽、救生衣、防护服、防滑防砸鞋、劳保手套等。作业过程中，要安排专人做好安全监督工作，防止意外伤亡事件发生。</w:t>
      </w:r>
    </w:p>
    <w:p w14:paraId="0B45661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4）溢油清除的原则</w:t>
      </w:r>
    </w:p>
    <w:p w14:paraId="1FCFE43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对于非持久性油类，如：汽油、轻质柴油、航空煤油、轻质原油等：</w:t>
      </w:r>
    </w:p>
    <w:p w14:paraId="5931291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·一般不采取回收方式，让其挥发。</w:t>
      </w:r>
    </w:p>
    <w:p w14:paraId="35D768F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·当有可能向附近敏感区域扩大时，可使用围油栏拦截和导向。</w:t>
      </w:r>
    </w:p>
    <w:p w14:paraId="3423D83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·在有可能引起火灾的情况下，可使用化学溢油分散剂，使其乳化分散，但应按程序严格控制用量。</w:t>
      </w:r>
    </w:p>
    <w:p w14:paraId="524B02B8">
      <w:pPr>
        <w:pStyle w:val="9"/>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对持久性油类，如柴油、中、重质原油、船舶燃料油、重油：</w:t>
      </w:r>
    </w:p>
    <w:p w14:paraId="422E624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·在可能的情况下，采取浮油回收船、收油机、油拖把、油拖网、吸油材料以及人工捞取等方式，尽量进行回收。</w:t>
      </w:r>
    </w:p>
    <w:p w14:paraId="396F531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以下情况可暂不采取清除行动：</w:t>
      </w:r>
    </w:p>
    <w:p w14:paraId="442E5A4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·溢出量较少，岸线或资源不受威胁。</w:t>
      </w:r>
    </w:p>
    <w:p w14:paraId="0A79E67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·溢油为挥发性（非持久性）油类。</w:t>
      </w:r>
    </w:p>
    <w:p w14:paraId="32CBFB8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可暂不采取清除行动的原则：</w:t>
      </w:r>
    </w:p>
    <w:p w14:paraId="4A2E7F0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·进行清除比自然清除更有害。</w:t>
      </w:r>
    </w:p>
    <w:p w14:paraId="4E27CE8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·不能确定清除方法的有效性。</w:t>
      </w:r>
    </w:p>
    <w:p w14:paraId="5950F977">
      <w:pPr>
        <w:pStyle w:val="3"/>
        <w:spacing w:line="500" w:lineRule="exact"/>
        <w:jc w:val="both"/>
        <w:rPr>
          <w:rFonts w:hint="eastAsia"/>
          <w:b/>
          <w:bCs w:val="0"/>
          <w:lang w:val="en-US" w:eastAsia="zh-CN"/>
        </w:rPr>
      </w:pPr>
      <w:bookmarkStart w:id="72" w:name="_Toc13979"/>
      <w:bookmarkStart w:id="73" w:name="_Toc23693"/>
      <w:bookmarkStart w:id="74" w:name="_Toc12635"/>
      <w:bookmarkStart w:id="75" w:name="_Toc30974"/>
      <w:r>
        <w:rPr>
          <w:rFonts w:hint="eastAsia"/>
          <w:b/>
          <w:bCs w:val="0"/>
          <w:lang w:val="en-US" w:eastAsia="zh-CN"/>
        </w:rPr>
        <w:t>4.主要敏感资源的围护方案</w:t>
      </w:r>
      <w:bookmarkEnd w:id="72"/>
      <w:bookmarkEnd w:id="73"/>
      <w:bookmarkEnd w:id="74"/>
      <w:bookmarkEnd w:id="75"/>
      <w:bookmarkStart w:id="76" w:name="_Toc298434802"/>
      <w:bookmarkStart w:id="77" w:name="_Toc298434469"/>
      <w:bookmarkStart w:id="78" w:name="_Toc297910038"/>
      <w:bookmarkStart w:id="79" w:name="_Toc298434801"/>
      <w:bookmarkStart w:id="80" w:name="_Toc298434468"/>
      <w:bookmarkStart w:id="81" w:name="_Toc297910037"/>
    </w:p>
    <w:p w14:paraId="652ED578">
      <w:pPr>
        <w:spacing w:line="500" w:lineRule="exact"/>
        <w:ind w:firstLine="640" w:firstLineChars="200"/>
        <w:rPr>
          <w:rFonts w:hint="eastAsia"/>
        </w:rPr>
      </w:pPr>
      <w:bookmarkStart w:id="82" w:name="_Toc15695"/>
      <w:bookmarkStart w:id="83" w:name="_Toc4022"/>
      <w:bookmarkStart w:id="84" w:name="_Toc9090"/>
      <w:r>
        <w:rPr>
          <w:rFonts w:hint="eastAsia"/>
        </w:rPr>
        <w:t>4.1保护服务区域内的主要敏感资源概述</w:t>
      </w:r>
      <w:bookmarkEnd w:id="76"/>
      <w:bookmarkEnd w:id="77"/>
      <w:bookmarkEnd w:id="78"/>
      <w:bookmarkEnd w:id="82"/>
      <w:bookmarkEnd w:id="83"/>
      <w:bookmarkEnd w:id="84"/>
    </w:p>
    <w:p w14:paraId="173B59C2">
      <w:pPr>
        <w:pStyle w:val="4"/>
        <w:widowControl/>
        <w:adjustRightInd w:val="0"/>
        <w:snapToGrid w:val="0"/>
        <w:spacing w:before="0" w:beforeAutospacing="0" w:after="0" w:afterAutospacing="0" w:line="500" w:lineRule="exact"/>
        <w:jc w:val="both"/>
        <w:rPr>
          <w:rFonts w:hint="eastAsia" w:cs="仿宋"/>
          <w:sz w:val="32"/>
          <w:szCs w:val="32"/>
          <w:highlight w:val="green"/>
          <w:lang w:bidi="ar"/>
        </w:rPr>
      </w:pPr>
      <w:r>
        <w:rPr>
          <w:rFonts w:hint="eastAsia" w:cs="仿宋"/>
          <w:sz w:val="32"/>
          <w:szCs w:val="32"/>
        </w:rPr>
        <w:t xml:space="preserve">   </w:t>
      </w:r>
      <w:r>
        <w:rPr>
          <w:rFonts w:hint="eastAsia" w:cs="仿宋"/>
          <w:sz w:val="32"/>
          <w:szCs w:val="32"/>
          <w:lang w:bidi="ar"/>
        </w:rPr>
        <w:t>海域内主要有龙口黄水河口海洋生态国家级自然保护区位于黄水河口入海口处，具体为东起于黄水河入海口以东455米处，南至G228国道，西至度假区西边界。保护区面积1781.18公顷。保护区黄水河口水深在0米～11米之间的海域，总面积为1781.18公顷；依岛省级自然保护区位于龙口湾东端，是目前烟台市区海域唯一无人类干扰的沙砾质岛屿，南距桑岛1公里，距南岸10公里。保护区以依岛的陆地面积（3.7公顷）和其潮间带区域（7.5公顷）作为保护区的核心区。核心区外150米区域为缓冲区，再向外150米区域为试验区。保护区的总面积约85.49公顷；黄水河河口湿地省级自然保护区位于城区东北、黄水河下游，地处龙口市诸由观镇境内，南端与兰高镇为邻。保护区北至黄河营渤海口，南至国道206西阳河大桥，总面积1027.9公顷。对于自然保护区必须加以重视，避免或最大程度的减少溢油对周围各个环境敏感资源区域的污染危害</w:t>
      </w:r>
      <w:bookmarkEnd w:id="79"/>
      <w:bookmarkEnd w:id="80"/>
      <w:bookmarkEnd w:id="81"/>
      <w:r>
        <w:rPr>
          <w:rFonts w:hint="eastAsia" w:cs="仿宋"/>
          <w:sz w:val="32"/>
          <w:szCs w:val="32"/>
          <w:lang w:bidi="ar"/>
        </w:rPr>
        <w:t>。</w:t>
      </w:r>
    </w:p>
    <w:p w14:paraId="55CDDE5E">
      <w:pPr>
        <w:jc w:val="center"/>
        <w:rPr>
          <w:rFonts w:hint="eastAsia"/>
          <w:b/>
          <w:bCs/>
        </w:rPr>
      </w:pPr>
      <w:bookmarkStart w:id="85" w:name="_Toc8526"/>
      <w:r>
        <w:rPr>
          <w:rFonts w:hint="eastAsia"/>
          <w:b/>
          <w:bCs/>
        </w:rPr>
        <w:t>龙口海区环境资源分类标准及保护次序</w:t>
      </w:r>
      <w:bookmarkEnd w:id="85"/>
    </w:p>
    <w:tbl>
      <w:tblPr>
        <w:tblStyle w:val="5"/>
        <w:tblW w:w="5000" w:type="pct"/>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15" w:type="dxa"/>
          <w:left w:w="15" w:type="dxa"/>
          <w:bottom w:w="15" w:type="dxa"/>
          <w:right w:w="15" w:type="dxa"/>
        </w:tblCellMar>
      </w:tblPr>
      <w:tblGrid>
        <w:gridCol w:w="1970"/>
        <w:gridCol w:w="4498"/>
        <w:gridCol w:w="2054"/>
      </w:tblGrid>
      <w:tr w14:paraId="4C3FA0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2059"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F6A66E5">
            <w:pPr>
              <w:pStyle w:val="4"/>
              <w:widowControl/>
              <w:adjustRightInd w:val="0"/>
              <w:snapToGrid w:val="0"/>
              <w:spacing w:before="0" w:beforeAutospacing="0" w:after="0" w:afterAutospacing="0" w:line="360" w:lineRule="auto"/>
              <w:jc w:val="center"/>
              <w:rPr>
                <w:rFonts w:hint="eastAsia" w:cs="仿宋"/>
                <w:sz w:val="32"/>
                <w:szCs w:val="32"/>
                <w:lang w:bidi="ar"/>
              </w:rPr>
            </w:pPr>
            <w:r>
              <w:rPr>
                <w:rFonts w:hint="eastAsia" w:cs="仿宋"/>
                <w:sz w:val="32"/>
                <w:szCs w:val="32"/>
                <w:lang w:bidi="ar"/>
              </w:rPr>
              <w:t>保护级别</w:t>
            </w:r>
          </w:p>
        </w:tc>
        <w:tc>
          <w:tcPr>
            <w:tcW w:w="4742"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D9876C8">
            <w:pPr>
              <w:pStyle w:val="4"/>
              <w:widowControl/>
              <w:adjustRightInd w:val="0"/>
              <w:snapToGrid w:val="0"/>
              <w:spacing w:before="0" w:beforeAutospacing="0" w:after="0" w:afterAutospacing="0" w:line="360" w:lineRule="auto"/>
              <w:jc w:val="center"/>
              <w:rPr>
                <w:rFonts w:hint="eastAsia" w:cs="仿宋"/>
                <w:sz w:val="32"/>
                <w:szCs w:val="32"/>
                <w:lang w:bidi="ar"/>
              </w:rPr>
            </w:pPr>
            <w:r>
              <w:rPr>
                <w:rFonts w:hint="eastAsia" w:cs="仿宋"/>
                <w:sz w:val="32"/>
                <w:szCs w:val="32"/>
                <w:lang w:bidi="ar"/>
              </w:rPr>
              <w:t>敏感资源</w:t>
            </w:r>
          </w:p>
        </w:tc>
        <w:tc>
          <w:tcPr>
            <w:tcW w:w="2147"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52740C1">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优先保护次序</w:t>
            </w:r>
          </w:p>
        </w:tc>
      </w:tr>
      <w:tr w14:paraId="1456C8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2059" w:type="dxa"/>
            <w:vMerge w:val="restar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D6F2939">
            <w:pPr>
              <w:pStyle w:val="4"/>
              <w:widowControl/>
              <w:adjustRightInd w:val="0"/>
              <w:snapToGrid w:val="0"/>
              <w:spacing w:before="0" w:beforeAutospacing="0" w:after="0" w:afterAutospacing="0" w:line="360" w:lineRule="auto"/>
              <w:rPr>
                <w:rFonts w:hint="eastAsia" w:cs="仿宋"/>
                <w:sz w:val="32"/>
                <w:szCs w:val="32"/>
                <w:lang w:bidi="ar"/>
              </w:rPr>
            </w:pPr>
            <w:r>
              <w:rPr>
                <w:rFonts w:hint="eastAsia" w:cs="仿宋"/>
                <w:sz w:val="32"/>
                <w:szCs w:val="32"/>
                <w:lang w:bidi="ar"/>
              </w:rPr>
              <w:t>一类保护区</w:t>
            </w:r>
          </w:p>
        </w:tc>
        <w:tc>
          <w:tcPr>
            <w:tcW w:w="4742"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8F1D64B">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龙口黄水河口海洋生态国家级自然保护区</w:t>
            </w:r>
          </w:p>
        </w:tc>
        <w:tc>
          <w:tcPr>
            <w:tcW w:w="2147"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75DE4CD">
            <w:pPr>
              <w:pStyle w:val="4"/>
              <w:widowControl/>
              <w:adjustRightInd w:val="0"/>
              <w:snapToGrid w:val="0"/>
              <w:spacing w:before="0" w:beforeAutospacing="0" w:after="0" w:afterAutospacing="0" w:line="360" w:lineRule="auto"/>
              <w:jc w:val="center"/>
              <w:rPr>
                <w:rFonts w:hint="eastAsia" w:cs="仿宋"/>
                <w:sz w:val="32"/>
                <w:szCs w:val="32"/>
                <w:lang w:bidi="ar"/>
              </w:rPr>
            </w:pPr>
            <w:r>
              <w:rPr>
                <w:rFonts w:hint="eastAsia" w:cs="仿宋"/>
                <w:sz w:val="32"/>
                <w:szCs w:val="32"/>
                <w:lang w:bidi="ar"/>
              </w:rPr>
              <w:t>I</w:t>
            </w:r>
          </w:p>
        </w:tc>
      </w:tr>
      <w:tr w14:paraId="653A3E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65" w:hRule="atLeast"/>
        </w:trPr>
        <w:tc>
          <w:tcPr>
            <w:tcW w:w="2059" w:type="dxa"/>
            <w:vMerge w:val="continue"/>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BC74E32">
            <w:pPr>
              <w:widowControl/>
              <w:adjustRightInd w:val="0"/>
              <w:snapToGrid w:val="0"/>
              <w:jc w:val="center"/>
              <w:rPr>
                <w:rFonts w:hint="eastAsia" w:cs="仿宋"/>
                <w:kern w:val="0"/>
                <w:szCs w:val="32"/>
                <w:lang w:bidi="ar"/>
              </w:rPr>
            </w:pPr>
          </w:p>
        </w:tc>
        <w:tc>
          <w:tcPr>
            <w:tcW w:w="4742"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7F56F91">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依岛省级自然保护区</w:t>
            </w:r>
          </w:p>
        </w:tc>
        <w:tc>
          <w:tcPr>
            <w:tcW w:w="2147"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A640CE5">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I</w:t>
            </w:r>
          </w:p>
        </w:tc>
      </w:tr>
      <w:tr w14:paraId="00733B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95" w:hRule="atLeast"/>
        </w:trPr>
        <w:tc>
          <w:tcPr>
            <w:tcW w:w="2059" w:type="dxa"/>
            <w:vMerge w:val="continue"/>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9D20412">
            <w:pPr>
              <w:widowControl/>
              <w:adjustRightInd w:val="0"/>
              <w:snapToGrid w:val="0"/>
              <w:jc w:val="center"/>
              <w:rPr>
                <w:rFonts w:hint="eastAsia" w:cs="仿宋"/>
                <w:kern w:val="0"/>
                <w:szCs w:val="32"/>
                <w:lang w:bidi="ar"/>
              </w:rPr>
            </w:pPr>
          </w:p>
        </w:tc>
        <w:tc>
          <w:tcPr>
            <w:tcW w:w="4742"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4796F72">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黄水河河口湿地省级自然保护区</w:t>
            </w:r>
          </w:p>
        </w:tc>
        <w:tc>
          <w:tcPr>
            <w:tcW w:w="2147"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490939C">
            <w:pPr>
              <w:pStyle w:val="4"/>
              <w:widowControl/>
              <w:adjustRightInd w:val="0"/>
              <w:snapToGrid w:val="0"/>
              <w:spacing w:before="0" w:beforeAutospacing="0" w:after="0" w:afterAutospacing="0"/>
              <w:jc w:val="center"/>
              <w:rPr>
                <w:rFonts w:hint="eastAsia" w:cs="仿宋"/>
                <w:sz w:val="32"/>
                <w:szCs w:val="32"/>
                <w:lang w:bidi="ar"/>
              </w:rPr>
            </w:pPr>
            <w:r>
              <w:rPr>
                <w:rFonts w:hint="eastAsia" w:cs="仿宋"/>
                <w:sz w:val="32"/>
                <w:szCs w:val="32"/>
                <w:lang w:bidi="ar"/>
              </w:rPr>
              <w:t>I</w:t>
            </w:r>
          </w:p>
        </w:tc>
      </w:tr>
    </w:tbl>
    <w:p w14:paraId="59D7A12B">
      <w:pPr>
        <w:spacing w:line="500" w:lineRule="exact"/>
        <w:ind w:firstLine="640" w:firstLineChars="200"/>
        <w:rPr>
          <w:rFonts w:hint="eastAsia" w:cs="仿宋"/>
          <w:kern w:val="0"/>
          <w:szCs w:val="32"/>
          <w:lang w:bidi="ar"/>
        </w:rPr>
      </w:pPr>
      <w:bookmarkStart w:id="86" w:name="_Toc16621"/>
      <w:bookmarkStart w:id="87" w:name="_Toc25844"/>
      <w:bookmarkStart w:id="88" w:name="_Toc3161"/>
      <w:r>
        <w:rPr>
          <w:rFonts w:hint="eastAsia" w:cs="仿宋"/>
          <w:kern w:val="0"/>
          <w:szCs w:val="32"/>
          <w:lang w:bidi="ar"/>
        </w:rPr>
        <w:t>4.2围护方案</w:t>
      </w:r>
      <w:bookmarkEnd w:id="86"/>
      <w:bookmarkEnd w:id="87"/>
      <w:bookmarkEnd w:id="88"/>
    </w:p>
    <w:p w14:paraId="21F02044">
      <w:pPr>
        <w:spacing w:line="500" w:lineRule="exact"/>
        <w:ind w:firstLine="640" w:firstLineChars="200"/>
        <w:rPr>
          <w:rFonts w:hint="eastAsia" w:ascii="Times New Roman" w:hAnsi="Times New Roman" w:eastAsia="宋体"/>
          <w:kern w:val="0"/>
          <w:sz w:val="24"/>
          <w:lang w:bidi="ar"/>
        </w:rPr>
      </w:pPr>
      <w:r>
        <w:rPr>
          <w:rFonts w:hint="eastAsia" w:cs="仿宋"/>
          <w:kern w:val="0"/>
          <w:szCs w:val="32"/>
          <w:lang w:bidi="ar"/>
        </w:rPr>
        <w:t xml:space="preserve">    当发生溢油事故，预测油带漂移有可能威胁敏感区时，在溢油漂移路径上布设固体式围油栏拦截溢油，防止溢油进入敏感区。并派溢油回收船担任守护，随时回收被拦截溢油，溢油堆积过多跨越栏体。</w:t>
      </w:r>
      <w:bookmarkStart w:id="89" w:name="_Toc297910040"/>
      <w:bookmarkStart w:id="90" w:name="_Toc298434471"/>
      <w:bookmarkStart w:id="91" w:name="_Toc298434804"/>
    </w:p>
    <w:p w14:paraId="4E83747B">
      <w:pPr>
        <w:pStyle w:val="3"/>
        <w:spacing w:line="500" w:lineRule="exact"/>
        <w:jc w:val="both"/>
        <w:rPr>
          <w:rFonts w:hint="eastAsia" w:ascii="仿宋" w:hAnsi="仿宋" w:eastAsia="仿宋" w:cs="仿宋"/>
          <w:b/>
          <w:bCs w:val="0"/>
          <w:szCs w:val="32"/>
          <w:lang w:val="en-US" w:eastAsia="zh-CN"/>
        </w:rPr>
      </w:pPr>
      <w:bookmarkStart w:id="92" w:name="_Toc17376"/>
      <w:bookmarkStart w:id="93" w:name="_Toc18214"/>
      <w:bookmarkStart w:id="94" w:name="_Toc9070"/>
      <w:bookmarkStart w:id="95" w:name="_Toc28348"/>
      <w:r>
        <w:rPr>
          <w:rFonts w:hint="eastAsia" w:ascii="仿宋" w:hAnsi="仿宋" w:eastAsia="仿宋" w:cs="仿宋"/>
          <w:b/>
          <w:bCs w:val="0"/>
          <w:szCs w:val="32"/>
          <w:lang w:val="en-US" w:eastAsia="zh-CN"/>
        </w:rPr>
        <w:t>5.海上污染物回收和清除方案</w:t>
      </w:r>
      <w:bookmarkEnd w:id="89"/>
      <w:bookmarkEnd w:id="90"/>
      <w:bookmarkEnd w:id="91"/>
      <w:bookmarkEnd w:id="92"/>
      <w:bookmarkEnd w:id="93"/>
      <w:bookmarkEnd w:id="94"/>
      <w:bookmarkEnd w:id="95"/>
    </w:p>
    <w:p w14:paraId="105B88E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就海上污染物回收和清除方面工作而言，海上清污技术的内涵是对突发的灾难性溢油的防治，包括四个基本方面：溢油监视技术和装备；溢油围栏、引导技术和装备；溢油回收或处理技术和装备；收回油的应急储存技术和装备。</w:t>
      </w:r>
      <w:bookmarkStart w:id="96" w:name="_Toc297910041"/>
      <w:bookmarkStart w:id="97" w:name="_Toc298434472"/>
      <w:bookmarkStart w:id="98" w:name="_Toc298434805"/>
    </w:p>
    <w:p w14:paraId="6A080DB8">
      <w:pPr>
        <w:spacing w:line="500" w:lineRule="exact"/>
        <w:ind w:firstLine="640" w:firstLineChars="200"/>
        <w:rPr>
          <w:rFonts w:hint="eastAsia"/>
        </w:rPr>
      </w:pPr>
      <w:r>
        <w:rPr>
          <w:rFonts w:hint="eastAsia"/>
        </w:rPr>
        <w:t xml:space="preserve"> </w:t>
      </w:r>
      <w:bookmarkStart w:id="99" w:name="_Toc30544"/>
      <w:bookmarkStart w:id="100" w:name="_Toc29642"/>
      <w:bookmarkStart w:id="101" w:name="_Toc2881"/>
      <w:r>
        <w:rPr>
          <w:rFonts w:hint="eastAsia"/>
        </w:rPr>
        <w:t>5.1溢油监视与油迹预报</w:t>
      </w:r>
      <w:bookmarkEnd w:id="96"/>
      <w:bookmarkEnd w:id="97"/>
      <w:bookmarkEnd w:id="98"/>
      <w:bookmarkEnd w:id="99"/>
      <w:bookmarkEnd w:id="100"/>
      <w:bookmarkEnd w:id="101"/>
    </w:p>
    <w:p w14:paraId="7C6E77C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为了能及时地发现溢油，尽早采取行动，扼制溢油继续溢出和扩散，为下一步清理污染提供决策依据，在海洋溢油事故中，油膜不停地漂移、扩散，应急人员必须随时掌握油膜的位置、动向、范围以及溢油数量，以便选用合适的装备，组织必要的人员，以适宜的方法并能在适当的时刻，赶赴到最佳的地点实施回收治理。发现和采取行动越早，成功率越高，紧急效果也越好。油迹预报是提供决策的重要资料。</w:t>
      </w:r>
    </w:p>
    <w:p w14:paraId="2E57F97C">
      <w:pPr>
        <w:spacing w:line="500" w:lineRule="exact"/>
        <w:ind w:firstLine="640" w:firstLineChars="200"/>
        <w:rPr>
          <w:rFonts w:hint="eastAsia"/>
        </w:rPr>
      </w:pPr>
      <w:r>
        <w:rPr>
          <w:rFonts w:hint="eastAsia"/>
        </w:rPr>
        <w:t xml:space="preserve"> </w:t>
      </w:r>
      <w:bookmarkStart w:id="102" w:name="_Toc27509"/>
      <w:r>
        <w:rPr>
          <w:rFonts w:hint="eastAsia"/>
        </w:rPr>
        <w:t>5.1.1大范围的监视</w:t>
      </w:r>
      <w:bookmarkEnd w:id="102"/>
    </w:p>
    <w:p w14:paraId="740B9D6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由于各种油的性质差异极大，气象、水文、海况也差异很大，单一的仪器常不能达到各种条件下的监视目的。通过飞机等航空遥感技术、卫星全天候监视等。     </w:t>
      </w:r>
    </w:p>
    <w:p w14:paraId="0EBB3E9C">
      <w:pPr>
        <w:spacing w:line="500" w:lineRule="exact"/>
        <w:ind w:firstLine="640" w:firstLineChars="200"/>
        <w:rPr>
          <w:rFonts w:hint="eastAsia"/>
        </w:rPr>
      </w:pPr>
      <w:bookmarkStart w:id="103" w:name="_Toc29373"/>
      <w:r>
        <w:rPr>
          <w:rFonts w:hint="eastAsia"/>
        </w:rPr>
        <w:t>5.1.2局部监视</w:t>
      </w:r>
      <w:bookmarkEnd w:id="103"/>
    </w:p>
    <w:p w14:paraId="00BEA3D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是利用油—水理化性质的差异，识别溢油并报警。可以用船上安装的溢油雷达监测系统和便携式溢油浮漂跟踪系统进行跟踪、监测。</w:t>
      </w:r>
    </w:p>
    <w:p w14:paraId="5EBD9509">
      <w:pPr>
        <w:spacing w:line="500" w:lineRule="exact"/>
        <w:ind w:firstLine="640" w:firstLineChars="200"/>
        <w:rPr>
          <w:rFonts w:hint="eastAsia"/>
        </w:rPr>
      </w:pPr>
      <w:bookmarkStart w:id="104" w:name="_Toc22636"/>
      <w:r>
        <w:rPr>
          <w:rFonts w:hint="eastAsia"/>
        </w:rPr>
        <w:t>5.1.3油种类的鉴定</w:t>
      </w:r>
      <w:bookmarkEnd w:id="104"/>
    </w:p>
    <w:p w14:paraId="0756690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在溢油现场采来的油样进行处理后得到的各项理化参数与计算机指纹识别系统参数相对照就可准确地判断是什么油。通过采样分析、鉴定，再查核过往船只油品记录，可以追查责任者。</w:t>
      </w:r>
    </w:p>
    <w:p w14:paraId="277CB03E">
      <w:pPr>
        <w:spacing w:line="500" w:lineRule="exact"/>
        <w:ind w:firstLine="640" w:firstLineChars="200"/>
        <w:rPr>
          <w:rFonts w:hint="eastAsia"/>
        </w:rPr>
      </w:pPr>
      <w:bookmarkStart w:id="105" w:name="_Toc6971"/>
      <w:r>
        <w:rPr>
          <w:rFonts w:hint="eastAsia"/>
        </w:rPr>
        <w:t>5.1.4油迹预报</w:t>
      </w:r>
      <w:bookmarkEnd w:id="105"/>
    </w:p>
    <w:p w14:paraId="107A601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由于溢油在潮流、风等作用下不断漂移、扩散、为给回收行动和防油污染行动选择适当的时刻、地点，有必要提供油迹预报，预报内容主要包括下述内容：油膜厚度和溢油量的估计、扩散面积、范围的估计、油膜形心轨迹的估计。可利用油迹预报软件进行预测。</w:t>
      </w:r>
      <w:bookmarkStart w:id="106" w:name="_Toc297910042"/>
      <w:bookmarkStart w:id="107" w:name="_Toc298434473"/>
      <w:bookmarkStart w:id="108" w:name="_Toc298434806"/>
    </w:p>
    <w:p w14:paraId="42B6CCF7">
      <w:pPr>
        <w:spacing w:line="500" w:lineRule="exact"/>
        <w:ind w:firstLine="640" w:firstLineChars="200"/>
        <w:rPr>
          <w:rFonts w:hint="eastAsia"/>
        </w:rPr>
      </w:pPr>
      <w:bookmarkStart w:id="109" w:name="_Toc1002"/>
      <w:bookmarkStart w:id="110" w:name="_Toc156"/>
      <w:bookmarkStart w:id="111" w:name="_Toc32354"/>
      <w:r>
        <w:rPr>
          <w:rFonts w:hint="eastAsia"/>
        </w:rPr>
        <w:t>5.2溢油围栏、引导</w:t>
      </w:r>
      <w:bookmarkEnd w:id="106"/>
      <w:bookmarkEnd w:id="107"/>
      <w:bookmarkEnd w:id="108"/>
      <w:bookmarkEnd w:id="109"/>
      <w:bookmarkEnd w:id="110"/>
      <w:bookmarkEnd w:id="111"/>
    </w:p>
    <w:p w14:paraId="74DAACA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溢油事故发生时应首先使用围油栏围控溢油，避免污染进一步扩散，并收拢溢油，增加油膜厚度，为下一步的回收工作做好准备。</w:t>
      </w:r>
    </w:p>
    <w:p w14:paraId="7D8CBFC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难以拦截的情况下要对溢油进行引导，以防止重要的敏感区受污染。利用各式围油栏根据实际情况采取围控措施，防止海面上的油污在自身重力和风、流以及其他因素的作用下迅速的扩散和漂移，将其控制在较小的范围内，以减少对水域的污染范围，减轻污染损害程度，同时还具有溢油的围控集中、导流和防止潜在的溢油等作用。溢油到水面后，在自身重力和风、流以及其它因素的作用下会迅速扩散和漂移。要根据实际情况采取围控措施和使用围控设备、器材，布放围油栏保护敏感资源区域。选用围油栏时，应首先考虑水域环境对围油栏的性能要求和围油栏的基本性能参数，然后在考虑现场环境和围油栏的操作性能。</w:t>
      </w:r>
      <w:bookmarkStart w:id="112" w:name="_Toc298434474"/>
      <w:bookmarkStart w:id="113" w:name="_Toc297910043"/>
      <w:bookmarkStart w:id="114" w:name="_Toc298434807"/>
    </w:p>
    <w:p w14:paraId="030ABAC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围油栏围控要注意以下几个方面：</w:t>
      </w:r>
    </w:p>
    <w:p w14:paraId="679BCA0B">
      <w:pPr>
        <w:spacing w:line="500" w:lineRule="exact"/>
        <w:ind w:firstLine="640" w:firstLineChars="200"/>
        <w:rPr>
          <w:rFonts w:hint="eastAsia"/>
        </w:rPr>
      </w:pPr>
      <w:bookmarkStart w:id="115" w:name="_Toc20598"/>
      <w:r>
        <w:rPr>
          <w:rFonts w:hint="eastAsia"/>
        </w:rPr>
        <w:t>1）在浪高水域，溢油可能会溅过围油栏，发生溅油的条件如下：</w:t>
      </w:r>
      <w:bookmarkEnd w:id="115"/>
    </w:p>
    <w:p w14:paraId="3CB2467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①波浪高度高于围油栏的水上部分。</w:t>
      </w:r>
    </w:p>
    <w:p w14:paraId="4D20931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②波浪波长与波高之比小于5-10∶1。</w:t>
      </w:r>
    </w:p>
    <w:p w14:paraId="700CCE2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2）水流流速较大时会影响围油栏的滞油性能，流速对围油栏的垂直分量达到0.7节时为临界流速，必须采用减少垂直分量的办法才能提高围油栏的滞油性能，包括：</w:t>
      </w:r>
    </w:p>
    <w:p w14:paraId="0CABA07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①避免使围油栏沿与水流流向垂直的方向布放，以降低作用于围油栏的垂直流速分量。</w:t>
      </w:r>
    </w:p>
    <w:p w14:paraId="1785B61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②在使围油栏与水流之间形成一定角度的同时要考虑各阶段围油栏连接后的整体刚性。</w:t>
      </w:r>
    </w:p>
    <w:p w14:paraId="5E534433">
      <w:pPr>
        <w:spacing w:line="500" w:lineRule="exact"/>
        <w:ind w:firstLine="640" w:firstLineChars="200"/>
        <w:rPr>
          <w:rFonts w:hint="eastAsia"/>
        </w:rPr>
      </w:pPr>
      <w:bookmarkStart w:id="116" w:name="_Toc18749"/>
      <w:bookmarkStart w:id="117" w:name="_Toc14011"/>
      <w:bookmarkStart w:id="118" w:name="_Toc15526"/>
      <w:r>
        <w:rPr>
          <w:rFonts w:hint="eastAsia"/>
        </w:rPr>
        <w:t>5.3溢油回收或处理</w:t>
      </w:r>
      <w:bookmarkEnd w:id="112"/>
      <w:bookmarkEnd w:id="113"/>
      <w:bookmarkEnd w:id="114"/>
      <w:bookmarkEnd w:id="116"/>
      <w:bookmarkEnd w:id="117"/>
      <w:bookmarkEnd w:id="118"/>
    </w:p>
    <w:p w14:paraId="0C85EF46">
      <w:pPr>
        <w:spacing w:line="500" w:lineRule="exact"/>
        <w:ind w:firstLine="640" w:firstLineChars="200"/>
        <w:rPr>
          <w:rFonts w:hint="eastAsia"/>
        </w:rPr>
      </w:pPr>
      <w:bookmarkStart w:id="119" w:name="_Toc11540"/>
      <w:r>
        <w:rPr>
          <w:rFonts w:hint="eastAsia"/>
        </w:rPr>
        <w:t>5.3.1机械回收</w:t>
      </w:r>
      <w:bookmarkEnd w:id="119"/>
    </w:p>
    <w:p w14:paraId="1E7D9E9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当围油工作完成后，就要对溢油进行回收和清除，利用胜利212船、胜利</w:t>
      </w:r>
      <w:r>
        <w:rPr>
          <w:rFonts w:hint="eastAsia" w:ascii="仿宋" w:hAnsi="仿宋" w:eastAsia="仿宋" w:cs="仿宋"/>
          <w:color w:val="auto"/>
          <w:sz w:val="32"/>
          <w:szCs w:val="32"/>
          <w:lang w:val="en-US" w:eastAsia="zh-CN" w:bidi="ar"/>
        </w:rPr>
        <w:t>503</w:t>
      </w:r>
      <w:r>
        <w:rPr>
          <w:rFonts w:hint="eastAsia" w:ascii="仿宋" w:hAnsi="仿宋" w:eastAsia="仿宋" w:cs="仿宋"/>
          <w:color w:val="auto"/>
          <w:sz w:val="32"/>
          <w:szCs w:val="32"/>
          <w:lang w:bidi="ar"/>
        </w:rPr>
        <w:t>船载侧挂式收油机、辅助船舶吊放收油机进行溢油回收作业，可以有效回收溢油，使其对环境的影响降到最低。收油机基本工作原理是利用油和油水混合物的流动性、油水的密度差以及材料对油/油水混合物的吸附性，将油从水面上分离出来。</w:t>
      </w:r>
    </w:p>
    <w:p w14:paraId="2AA2A02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机械回收要注意以下几个方面：</w:t>
      </w:r>
    </w:p>
    <w:p w14:paraId="3ECA422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1）水面比较平静时撇油回收效果较好，但在风浪大情况下一般不能使用，具体限制如下：</w:t>
      </w:r>
    </w:p>
    <w:p w14:paraId="7742414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·风可以卷起轻质油，使其离开水面。</w:t>
      </w:r>
    </w:p>
    <w:p w14:paraId="50AFE32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·波浪较大、特别是出现短波和骇浪时，收油机不能跟随波浪，使其性能受到影响。或使收油机的集油机构移动，离开水面油膜，影响回收。</w:t>
      </w:r>
    </w:p>
    <w:p w14:paraId="2F6F7E6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·急流使溢油在围油栏下面逃逸，高流速使水面溢油太快地移过收油机的集油机构，不能有效回收。</w:t>
      </w:r>
    </w:p>
    <w:p w14:paraId="03F48000">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2）溢油粘度是影响收油机回收效果的主要因素，具体限制为。</w:t>
      </w:r>
    </w:p>
    <w:p w14:paraId="59937BC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·溢油粘度大于2，000 cst时，一般收油机不能正常工作。</w:t>
      </w:r>
    </w:p>
    <w:p w14:paraId="583E2FA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·溢油在风蚀过程中粘度会显著上升，严重乳化的原油粘度甚至高达130，000-170，000 cst，影响收油机的有效性。</w:t>
      </w:r>
    </w:p>
    <w:p w14:paraId="5020BDC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·对于高倾点的原油和沥青球，可采取油拖网作为撇油装置替代一般收油机。</w:t>
      </w:r>
    </w:p>
    <w:p w14:paraId="0F41CFF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油膜厚度是决定撇油系统有效性的另一重要因素，只要油膜有足够的厚度，则几乎任何一种撇油装置都是有效的，而当积聚的溢油减少时，收油机的回收效率都会下降，简单的撇油装置（如抽吸型收油机）受油膜厚度影响最为明显。</w:t>
      </w:r>
    </w:p>
    <w:p w14:paraId="6108A9A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4）在收油机工作环境中如果有杂物，则可能使收油机的运行发生障碍，某些收油机如亲油型收油机，对杂物很敏感。</w:t>
      </w:r>
    </w:p>
    <w:p w14:paraId="1BED844E">
      <w:pPr>
        <w:spacing w:line="500" w:lineRule="exact"/>
        <w:ind w:firstLine="640" w:firstLineChars="200"/>
        <w:rPr>
          <w:rFonts w:hint="eastAsia"/>
        </w:rPr>
      </w:pPr>
      <w:r>
        <w:rPr>
          <w:rFonts w:hint="eastAsia"/>
        </w:rPr>
        <w:t xml:space="preserve"> </w:t>
      </w:r>
      <w:bookmarkStart w:id="120" w:name="_Toc6840"/>
      <w:r>
        <w:rPr>
          <w:rFonts w:hint="eastAsia"/>
        </w:rPr>
        <w:t>5.3.2化学分解</w:t>
      </w:r>
      <w:bookmarkEnd w:id="120"/>
    </w:p>
    <w:p w14:paraId="765C8D9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主要是使用溢油分散剂。它可以减少油水界面的表面张力，使溢油分散成细小的油滴，并在水中被稀释和被微生物降解。溢油分散剂对环境也有影响，大量使用会造成二次污染，因此国家环保部门对它的用量有严格限制。溢油分散剂作为最后的手段，只有当在溢油预计漂向岸边或环境敏感水域。由于天气和海况的原因，机械回收失败或机械回收完毕后还有剩余残油的情况下才使用。且首先应征得国家有关部门的批准。</w:t>
      </w:r>
    </w:p>
    <w:p w14:paraId="6EC83497">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化学溢油分散剂要注意以下几个方面：</w:t>
      </w:r>
    </w:p>
    <w:p w14:paraId="037E0A0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1）任何情况下使用化学溢油分散剂，均应经溢油应急指挥部批准。并且喷洒化学溢油分散剂最好使用专用的喷洒设备，如无专用喷洒设备，也可使用船上的消防泵代替。</w:t>
      </w:r>
    </w:p>
    <w:p w14:paraId="3179307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2）决定是否使用化学溢油分散剂，应考虑下列因素：</w:t>
      </w:r>
    </w:p>
    <w:p w14:paraId="6D46389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·在已经发生或可能发生有火灾、爆炸等危险，以及危及人命或设施安全的不可抗拒的情况下。</w:t>
      </w:r>
    </w:p>
    <w:p w14:paraId="3AEC1DD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·对于物理、机械的方法难于处理的溢油，采取化学溢油分散剂促使其向水体分散所造成总的损害比把溢油留在水面上不处理的损害小。</w:t>
      </w:r>
    </w:p>
    <w:p w14:paraId="797F764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·溢油可能向水产养殖区、环境敏感区移动，威胁着商业利益或对环境有损害，并且在到达上述区域之前不能通过自然蒸发，或风浪流的作用而自行消散，也不能用物理方法围控和处理。</w:t>
      </w:r>
    </w:p>
    <w:p w14:paraId="4ABB422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·溢油的类型及水温适合于化学分散（一般来说，水温需高于拟处理油的倾点5℃以上），气象等条件宜于分散溢油扩散。</w:t>
      </w:r>
    </w:p>
    <w:p w14:paraId="4E0FC39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3）限制使用化学溢油分散剂的原则下述情况不宜使用化学溢油分散剂，但发生或可能发生有火灾、爆炸等危险，以及危及人命或设施安全的不可抗拒的情况除外：</w:t>
      </w:r>
    </w:p>
    <w:p w14:paraId="0D5C636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·溢油为汽油、煤油等易挥发的轻质油，或呈现彩虹特征的薄油膜。</w:t>
      </w:r>
    </w:p>
    <w:p w14:paraId="2F5AA74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·溢油为难于化学分散的油，例如有高蜡含量、高倾点的大庆原油、华北原油等。</w:t>
      </w:r>
    </w:p>
    <w:p w14:paraId="291706A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·溢出油为在环境水温下不呈流态或经过几天风蚀后形成有清晰边缘的“巧克力奶油冻”样的厚碎片。</w:t>
      </w:r>
    </w:p>
    <w:p w14:paraId="0DD8367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·溢油发生在封闭的浅水或平静的水域。</w:t>
      </w:r>
    </w:p>
    <w:p w14:paraId="5991EF7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·溢油发生在环境敏感区或电厂冷却系统的吸水口。</w:t>
      </w:r>
    </w:p>
    <w:p w14:paraId="6F0F4D8F">
      <w:pPr>
        <w:spacing w:line="500" w:lineRule="exact"/>
        <w:ind w:firstLine="640" w:firstLineChars="200"/>
        <w:rPr>
          <w:rFonts w:hint="eastAsia"/>
        </w:rPr>
      </w:pPr>
      <w:bookmarkStart w:id="121" w:name="_Toc15171"/>
      <w:r>
        <w:rPr>
          <w:rFonts w:hint="eastAsia"/>
        </w:rPr>
        <w:t>5.3.3吸附材料</w:t>
      </w:r>
      <w:bookmarkEnd w:id="121"/>
    </w:p>
    <w:p w14:paraId="5C4125F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积液很浅以及低地的低含油量污染区，以及如潮间带、沼泽地和泥沼地中的贴地污油，可以用如稻草席之类的吸附物加以有效回收。这类用吸附材料作成的编织物，还可用来保护潮间带的海滩，免受溢油的污染。在一定条件下，如稻草席之类的吸附物也可用于水面吸附漂浮的溢油。</w:t>
      </w:r>
    </w:p>
    <w:p w14:paraId="456E2DB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除天然吸附材料之外，还有多种人工合成材料。它们多用聚乙烯、聚丙烯、聚氨脂等制成，可以作成条状、巻状、膨松状以及块状等多种形式，以适应不同的清污作业需要。还可利用毡状吸附材料清除地面污油，用拖网和块状吸附材料清除水面溢油等。目前使用的以用聚丙烯熔喷纤维制成的为主。</w:t>
      </w:r>
    </w:p>
    <w:p w14:paraId="2BE9253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可利用人工方式对吸油后的吸油毡进行回收。</w:t>
      </w:r>
    </w:p>
    <w:p w14:paraId="5857461C">
      <w:pPr>
        <w:spacing w:line="500" w:lineRule="exact"/>
        <w:ind w:firstLine="640" w:firstLineChars="200"/>
        <w:rPr>
          <w:rFonts w:hint="eastAsia"/>
        </w:rPr>
      </w:pPr>
      <w:bookmarkStart w:id="122" w:name="_Toc15983"/>
      <w:r>
        <w:rPr>
          <w:rFonts w:hint="eastAsia"/>
        </w:rPr>
        <w:t>5.3.4溢油燃烧处理</w:t>
      </w:r>
      <w:bookmarkEnd w:id="122"/>
    </w:p>
    <w:p w14:paraId="1DE3F2F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开阔水域或冰雪层上，在难以回收处理而又允许燃烧处理时，烧掉溢油免其污染重要的水域也是可行的。但是并非都很易引燃，引燃技术性很强。通常引燃要有电的、导火索的延时装置，以便人员撤离，也有的是空中点火后抛下引燃，以确保安全。引燃物可以采用气体、液体和固化的高发热量的燃料。</w:t>
      </w:r>
      <w:bookmarkStart w:id="123" w:name="_Toc298434808"/>
      <w:bookmarkStart w:id="124" w:name="_Toc298434475"/>
      <w:bookmarkStart w:id="125" w:name="_Toc297910044"/>
    </w:p>
    <w:p w14:paraId="53F4FCF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现场焚烧现场焚烧可在短时间内烧掉水面大量的溢油，作业简单，所需后勤支援少。但应做到注意避免以下问题：</w:t>
      </w:r>
    </w:p>
    <w:p w14:paraId="47257A4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·焚烧地点应远离码头、岸边设施、环境敏感区，且应防止诱发二次燃烧。</w:t>
      </w:r>
    </w:p>
    <w:p w14:paraId="05F6B12E">
      <w:pPr>
        <w:pStyle w:val="9"/>
        <w:snapToGrid w:val="0"/>
        <w:spacing w:line="500" w:lineRule="exact"/>
        <w:ind w:firstLine="640" w:firstLineChars="200"/>
        <w:jc w:val="both"/>
        <w:rPr>
          <w:rFonts w:hint="eastAsia" w:ascii="仿宋" w:hAnsi="仿宋" w:eastAsia="仿宋" w:cs="仿宋"/>
          <w:sz w:val="32"/>
          <w:szCs w:val="32"/>
        </w:rPr>
      </w:pPr>
      <w:r>
        <w:rPr>
          <w:rFonts w:hint="eastAsia" w:ascii="仿宋" w:hAnsi="仿宋" w:eastAsia="仿宋" w:cs="仿宋"/>
          <w:color w:val="auto"/>
          <w:sz w:val="32"/>
          <w:szCs w:val="32"/>
          <w:lang w:bidi="ar"/>
        </w:rPr>
        <w:t>·如采取现场焚烧，则要在溢出后1-2天内（油包水乳状液中含水量不小于30%），且风、浪较小时进行。</w:t>
      </w:r>
    </w:p>
    <w:p w14:paraId="638C5BE0">
      <w:pPr>
        <w:pStyle w:val="3"/>
        <w:spacing w:line="500" w:lineRule="exact"/>
        <w:jc w:val="both"/>
        <w:rPr>
          <w:rFonts w:hint="eastAsia" w:ascii="仿宋" w:hAnsi="仿宋" w:eastAsia="仿宋" w:cs="仿宋"/>
          <w:b/>
          <w:bCs w:val="0"/>
          <w:color w:val="auto"/>
          <w:szCs w:val="32"/>
          <w:lang w:val="en-US" w:eastAsia="zh-CN" w:bidi="ar"/>
        </w:rPr>
      </w:pPr>
      <w:bookmarkStart w:id="126" w:name="_Toc32186"/>
      <w:bookmarkStart w:id="127" w:name="_Toc20470"/>
      <w:bookmarkStart w:id="128" w:name="_Toc14371"/>
      <w:bookmarkStart w:id="129" w:name="_Toc25333"/>
      <w:r>
        <w:rPr>
          <w:rFonts w:hint="eastAsia"/>
          <w:b/>
          <w:bCs w:val="0"/>
          <w:lang w:val="en-US" w:eastAsia="zh-CN"/>
        </w:rPr>
        <w:t>6.岸线清污方案</w:t>
      </w:r>
      <w:bookmarkEnd w:id="123"/>
      <w:bookmarkEnd w:id="124"/>
      <w:bookmarkEnd w:id="125"/>
      <w:bookmarkEnd w:id="126"/>
      <w:bookmarkEnd w:id="127"/>
      <w:bookmarkEnd w:id="128"/>
      <w:bookmarkEnd w:id="129"/>
    </w:p>
    <w:p w14:paraId="673848DF">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岸线清除岸线溢油的清除一般可直接进行，正常情况下不需要专用设备。根据油品的种类和数量、污染的地理范围、受到影响的岸线长度和自然状况制定岸线清除方案。岸线清除通常有以下三个阶段：</w:t>
      </w:r>
    </w:p>
    <w:p w14:paraId="07478DF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1）清除重污染物及浮油。</w:t>
      </w:r>
    </w:p>
    <w:p w14:paraId="7031A612">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2）清除中度污染物、搁浅于岸线的油及被油污染的岸边泥沙。</w:t>
      </w:r>
    </w:p>
    <w:p w14:paraId="47B97CA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3）清除轻度污染岸线污染物及油迹。</w:t>
      </w:r>
    </w:p>
    <w:p w14:paraId="6B493E3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大区域的污染清除的方法由岸线类型决定，漂到岸边的浮油应尽快地围拢与收集，以防止流到未被污染的岸线。可使用泵、真空罐车或油罐拖车收集浮油，若车辆无法到达，可使用桶、勺、或其他容器捞起溢油，再将装油的容器用船运走。此外，还可使用适量的吸油材料。待流动的溢油清除后，对于沙滩可用铲车收集被油污染的砂石；对其他类型的岸线，通常可用高压水或分散剂清除污油，用凉水或热水冲洗取决于设备性能及油的种类，一般情况下水温大约加热到60℃并以10-20升/分钟的水流喷射冲洗，同时必须将冲洗下来的油污水收集起来。</w:t>
      </w:r>
    </w:p>
    <w:p w14:paraId="5685505A">
      <w:pPr>
        <w:pStyle w:val="9"/>
        <w:widowControl/>
        <w:autoSpaceDE/>
        <w:autoSpaceDN/>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大致包括岩石和人造结构圆石、小鹅卵石、鹅卵石、沙滩和有沉积物的岸线几类，有些岸线在特定的时间内野生物会在该区域觅食或在该区域筑巢孵卵，或聚集着成千上万的迁息鸟类；有些作为浴场、旅游区等有很高的经济价值和社会价值，因此进行岸线溢油的清除应对多方面的因素进行考虑。</w:t>
      </w:r>
      <w:bookmarkStart w:id="130" w:name="_Toc297910045"/>
      <w:bookmarkStart w:id="131" w:name="_Toc298434476"/>
      <w:bookmarkStart w:id="132" w:name="_Toc298434809"/>
    </w:p>
    <w:p w14:paraId="115DF3F9">
      <w:pPr>
        <w:spacing w:line="500" w:lineRule="exact"/>
        <w:ind w:firstLine="640" w:firstLineChars="200"/>
        <w:rPr>
          <w:rFonts w:hint="eastAsia"/>
        </w:rPr>
      </w:pPr>
      <w:r>
        <w:rPr>
          <w:rFonts w:hint="eastAsia"/>
        </w:rPr>
        <w:t xml:space="preserve"> </w:t>
      </w:r>
      <w:bookmarkStart w:id="133" w:name="_Toc17624"/>
      <w:bookmarkStart w:id="134" w:name="_Toc5618"/>
      <w:bookmarkStart w:id="135" w:name="_Toc31906"/>
      <w:r>
        <w:rPr>
          <w:rFonts w:hint="eastAsia"/>
        </w:rPr>
        <w:t>6.1岸线溢油清除步骤</w:t>
      </w:r>
      <w:bookmarkEnd w:id="130"/>
      <w:bookmarkEnd w:id="131"/>
      <w:bookmarkEnd w:id="132"/>
      <w:bookmarkEnd w:id="133"/>
      <w:bookmarkEnd w:id="134"/>
      <w:bookmarkEnd w:id="135"/>
    </w:p>
    <w:p w14:paraId="61D9ACF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典型的岸线清除分三个阶段进行：清除大片溢油、清除滩涂溢油、最后清洁。</w:t>
      </w:r>
    </w:p>
    <w:p w14:paraId="69C6A531">
      <w:pPr>
        <w:spacing w:line="500" w:lineRule="exact"/>
        <w:ind w:firstLine="640" w:firstLineChars="200"/>
        <w:rPr>
          <w:rFonts w:hint="eastAsia"/>
        </w:rPr>
      </w:pPr>
      <w:bookmarkStart w:id="136" w:name="_Toc23357"/>
      <w:r>
        <w:rPr>
          <w:rFonts w:hint="eastAsia"/>
        </w:rPr>
        <w:t>6.1.1清除大片溢油</w:t>
      </w:r>
      <w:bookmarkEnd w:id="136"/>
    </w:p>
    <w:p w14:paraId="301F03B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回收岸线水边的漂浮溢油和清除岸线上厚的油层。清除作业需要使用收油机、泵、真空罐车、铁锹和桶等机械设备和工具。选择使用真空罐车吸取岸线溢油是最适宜的方法。</w:t>
      </w:r>
    </w:p>
    <w:p w14:paraId="3290E6A7">
      <w:pPr>
        <w:spacing w:line="500" w:lineRule="exact"/>
        <w:ind w:firstLine="640" w:firstLineChars="200"/>
        <w:rPr>
          <w:rFonts w:hint="eastAsia"/>
        </w:rPr>
      </w:pPr>
      <w:bookmarkStart w:id="137" w:name="_Toc28870"/>
      <w:r>
        <w:rPr>
          <w:rFonts w:hint="eastAsia"/>
        </w:rPr>
        <w:t>6.1.2清除滩涂溢油</w:t>
      </w:r>
      <w:bookmarkEnd w:id="137"/>
    </w:p>
    <w:p w14:paraId="7F4A097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清除渗入沙滩的溢油和被溢油污染的沙滩。如果溢油量很少或溢油在岸线上已有一段时间并且已经渗透到沙滩上层，清除操作经常从这时开始，需要投入收油机、泵、真空罐车和桶等设备。</w:t>
      </w:r>
    </w:p>
    <w:p w14:paraId="1D163529">
      <w:pPr>
        <w:spacing w:line="500" w:lineRule="exact"/>
        <w:ind w:firstLine="640" w:firstLineChars="200"/>
        <w:rPr>
          <w:rFonts w:hint="eastAsia"/>
        </w:rPr>
      </w:pPr>
      <w:bookmarkStart w:id="138" w:name="_Toc16223"/>
      <w:r>
        <w:rPr>
          <w:rFonts w:hint="eastAsia"/>
        </w:rPr>
        <w:t>6.1.3最后清洁</w:t>
      </w:r>
      <w:bookmarkEnd w:id="138"/>
    </w:p>
    <w:p w14:paraId="07BB927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将残存的各种油污比较彻底地清除掉，这一阶段的作业需要使用吸油材料，如果当地主管部门许可，也可使用分散剂。</w:t>
      </w:r>
      <w:bookmarkStart w:id="139" w:name="_Toc297910046"/>
      <w:bookmarkStart w:id="140" w:name="_Toc298434477"/>
      <w:bookmarkStart w:id="141" w:name="_Toc298434810"/>
    </w:p>
    <w:p w14:paraId="618035EC">
      <w:pPr>
        <w:spacing w:line="500" w:lineRule="exact"/>
        <w:ind w:firstLine="640" w:firstLineChars="200"/>
        <w:rPr>
          <w:rFonts w:hint="eastAsia"/>
        </w:rPr>
      </w:pPr>
      <w:bookmarkStart w:id="142" w:name="_Toc10149"/>
      <w:bookmarkStart w:id="143" w:name="_Toc4085"/>
      <w:bookmarkStart w:id="144" w:name="_Toc21150"/>
      <w:r>
        <w:rPr>
          <w:rFonts w:hint="eastAsia"/>
        </w:rPr>
        <w:t>6.2岸线溢油清除技术</w:t>
      </w:r>
      <w:bookmarkEnd w:id="139"/>
      <w:bookmarkEnd w:id="140"/>
      <w:bookmarkEnd w:id="141"/>
      <w:bookmarkEnd w:id="142"/>
      <w:bookmarkEnd w:id="143"/>
      <w:bookmarkEnd w:id="144"/>
    </w:p>
    <w:p w14:paraId="514F928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岸线溢油的清除主要使用泵、机械设备、人工回收或岸线清洁机等特殊设备，有时也可使岸线自然恢复。</w:t>
      </w:r>
    </w:p>
    <w:p w14:paraId="4B3173BD">
      <w:pPr>
        <w:spacing w:line="500" w:lineRule="exact"/>
        <w:ind w:firstLine="640" w:firstLineChars="200"/>
        <w:rPr>
          <w:rFonts w:hint="eastAsia"/>
        </w:rPr>
      </w:pPr>
      <w:bookmarkStart w:id="145" w:name="_Toc11663"/>
      <w:r>
        <w:rPr>
          <w:rFonts w:hint="eastAsia"/>
        </w:rPr>
        <w:t>6.2.1利用收油机回收</w:t>
      </w:r>
      <w:bookmarkEnd w:id="145"/>
    </w:p>
    <w:p w14:paraId="6413E60C">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利用泵/收油机回收岸线上的溢油是最简便的方法。由于岸线上的溢油含有一些沙粒和垃圾，应使用对垃圾沙粒不敏感的真空泵、真空罐车或真空式收油机回收溢油，并将溢油泵送到储油设施。</w:t>
      </w:r>
    </w:p>
    <w:p w14:paraId="23405F19">
      <w:pPr>
        <w:spacing w:line="500" w:lineRule="exact"/>
        <w:ind w:firstLine="640" w:firstLineChars="200"/>
        <w:rPr>
          <w:rFonts w:hint="eastAsia"/>
        </w:rPr>
      </w:pPr>
      <w:bookmarkStart w:id="146" w:name="_Toc28371"/>
      <w:r>
        <w:rPr>
          <w:rFonts w:hint="eastAsia"/>
        </w:rPr>
        <w:t>6.2.2使用推土机等机械设备回收溢油和油污染的沙子</w:t>
      </w:r>
      <w:bookmarkEnd w:id="146"/>
    </w:p>
    <w:p w14:paraId="1CB1A826">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使用平地机、推土机、铲土机和装载机等机械设备回收溢油和油污染的沙子。这种回收技术适用于沙滩渗透程度和敏感程度低的岸线。作业时，机械设备应沿着岸线方向自岸上向水边逐步工作，将受油污染的沙子集中起来统一处理。使用附着机粘附溢油，用推土机将溢油污染的沙层推到一起，还可利用扶梯式挖斗机清除溢油。这些设备适用于回收刚着岸的油和重油。</w:t>
      </w:r>
    </w:p>
    <w:p w14:paraId="6F6DE4A0">
      <w:pPr>
        <w:spacing w:line="500" w:lineRule="exact"/>
        <w:ind w:firstLine="640" w:firstLineChars="200"/>
        <w:rPr>
          <w:rFonts w:hint="eastAsia"/>
        </w:rPr>
      </w:pPr>
      <w:bookmarkStart w:id="147" w:name="_Toc17520"/>
      <w:r>
        <w:rPr>
          <w:rFonts w:hint="eastAsia"/>
        </w:rPr>
        <w:t>6.2.3人工清除溢油</w:t>
      </w:r>
      <w:bookmarkEnd w:id="147"/>
    </w:p>
    <w:p w14:paraId="42776AD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人工使用铲、镐、筐和塑料袋清除溢油，适用于任何类型的岸线，特别适用于敏感性高的岸线和机械设备不能进入的岸线。虽然这种清除方式效率低，但清洁后的岸线资源恢复快。</w:t>
      </w:r>
    </w:p>
    <w:p w14:paraId="0C9469A2">
      <w:pPr>
        <w:spacing w:line="500" w:lineRule="exact"/>
        <w:ind w:firstLine="640" w:firstLineChars="200"/>
        <w:rPr>
          <w:rFonts w:hint="eastAsia"/>
        </w:rPr>
      </w:pPr>
      <w:bookmarkStart w:id="148" w:name="_Toc11"/>
      <w:r>
        <w:rPr>
          <w:rFonts w:hint="eastAsia"/>
        </w:rPr>
        <w:t>6.2.4冲刷</w:t>
      </w:r>
      <w:bookmarkEnd w:id="148"/>
    </w:p>
    <w:p w14:paraId="023DA00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冲刷污染岸线的表面。这种措施适用于清洁污染轻微的大圆石、鹅卵石、沙砾、码头、岸壁等类型的岸线。</w:t>
      </w:r>
    </w:p>
    <w:p w14:paraId="76DCB24E">
      <w:pPr>
        <w:spacing w:line="500" w:lineRule="exact"/>
        <w:ind w:firstLine="640" w:firstLineChars="200"/>
        <w:rPr>
          <w:rFonts w:hint="eastAsia"/>
        </w:rPr>
      </w:pPr>
      <w:bookmarkStart w:id="149" w:name="_Toc15831"/>
      <w:r>
        <w:rPr>
          <w:rFonts w:hint="eastAsia"/>
        </w:rPr>
        <w:t>6.2.5自然恢复</w:t>
      </w:r>
      <w:bookmarkEnd w:id="149"/>
    </w:p>
    <w:p w14:paraId="185B902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适用于敏感程度比较高和进入非常困难的岸线或偏远地区岸线。有时进行岸线清除会造成比不清除更大的损害。若这些岸线经常暴露在汹涌的波浪中，自然清洁则更加快速有效。对采取自然恢复的岸线应进行定期监视监测，确定自然恢复程度。</w:t>
      </w:r>
    </w:p>
    <w:p w14:paraId="5FF14BDD">
      <w:pPr>
        <w:spacing w:line="500" w:lineRule="exact"/>
        <w:ind w:firstLine="640" w:firstLineChars="200"/>
        <w:rPr>
          <w:rFonts w:hint="eastAsia"/>
        </w:rPr>
      </w:pPr>
      <w:bookmarkStart w:id="150" w:name="_Toc200"/>
      <w:r>
        <w:rPr>
          <w:rFonts w:hint="eastAsia"/>
        </w:rPr>
        <w:t>6.2.6使用岸线清洁机清洁岸线</w:t>
      </w:r>
      <w:bookmarkEnd w:id="150"/>
    </w:p>
    <w:p w14:paraId="025CCCD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岸线清洁有时需要使用沙滩清洁机，沙滩清洁机是通过筛子回收沙滩油球块和污染的石块的机械装置。使用时，应沿着岸线方向自岸上向水边一排一排逐步进行，最后清洁到水边。设备运行速度3~10km/h，每小时可清洁5000~1500m2。</w:t>
      </w:r>
    </w:p>
    <w:p w14:paraId="76C3A06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2）使用低压清洁装置清洁岸线溢油。低压清洁装置是用周围水源来冲洗岸线油污，这种装置适用于清洁高敏感性的岸线，并用围油栏和收油机配合作业。操作时应先从污染严重的区域开始，最后清洁到水边。</w:t>
      </w:r>
    </w:p>
    <w:p w14:paraId="215FFEF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使用高压热水清洁装置清洁岸线溢油。高压热水清洁装置是用来从坚硬表面上清洗风化的溢油的装置。使用装置时，应提供足够的淡水，不能使用海水。清洁作业时应自上而下进行，并配合围油栏和收油机一起工作。这种清洁方法容易损害海洋表面的微生物。</w:t>
      </w:r>
    </w:p>
    <w:p w14:paraId="354CCCBC">
      <w:pPr>
        <w:spacing w:line="500" w:lineRule="exact"/>
        <w:ind w:firstLine="640" w:firstLineChars="200"/>
        <w:rPr>
          <w:rFonts w:hint="eastAsia"/>
        </w:rPr>
      </w:pPr>
      <w:bookmarkStart w:id="151" w:name="_Toc6242"/>
      <w:r>
        <w:rPr>
          <w:rFonts w:hint="eastAsia"/>
        </w:rPr>
        <w:t>6.2.7喷洒分散剂</w:t>
      </w:r>
      <w:bookmarkEnd w:id="151"/>
    </w:p>
    <w:p w14:paraId="09D23FFA">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清除岸线表面余油。在岸线上使用分散剂需要得到许可，喷洒后应用海水冲洗或等待潮汐的冲刷。使用吸附材料吸附被冲入水边 的溢油，以避免进一步污染岸线。</w:t>
      </w:r>
    </w:p>
    <w:p w14:paraId="58554F35">
      <w:pPr>
        <w:spacing w:line="500" w:lineRule="exact"/>
        <w:ind w:firstLine="640" w:firstLineChars="200"/>
        <w:rPr>
          <w:rFonts w:hint="eastAsia"/>
        </w:rPr>
      </w:pPr>
      <w:bookmarkStart w:id="152" w:name="_Toc28673"/>
      <w:r>
        <w:rPr>
          <w:rFonts w:hint="eastAsia"/>
        </w:rPr>
        <w:t>6.6.8犁耙岸滩</w:t>
      </w:r>
      <w:bookmarkEnd w:id="152"/>
    </w:p>
    <w:p w14:paraId="508716A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犁耙岸滩这种技术适用于轻微污染。没有旅游娱乐价值的岸线，将沙砾犁耙起来使其充分通风，加快溢油风化。岸线清除是伴随着开阔水域发生溢油的处理一起进行的，不属于应急反应，这种作业可能持续几周时间或更长。清除作业时可能会发生意外情况 ，例如有大量迁徙的动物到来，或旅游季节即将开始，或正处于旅游旺季。</w:t>
      </w:r>
      <w:bookmarkStart w:id="153" w:name="_Toc297910048"/>
      <w:bookmarkStart w:id="154" w:name="_Toc298434479"/>
      <w:bookmarkStart w:id="155" w:name="_Toc298434812"/>
    </w:p>
    <w:p w14:paraId="0DAA1462">
      <w:pPr>
        <w:pStyle w:val="3"/>
        <w:spacing w:line="500" w:lineRule="exact"/>
        <w:jc w:val="both"/>
        <w:rPr>
          <w:rFonts w:hint="eastAsia" w:ascii="仿宋" w:hAnsi="仿宋" w:eastAsia="仿宋" w:cs="仿宋"/>
          <w:b/>
          <w:bCs w:val="0"/>
          <w:color w:val="auto"/>
          <w:szCs w:val="32"/>
          <w:lang w:val="en-US" w:eastAsia="zh-CN" w:bidi="ar"/>
        </w:rPr>
      </w:pPr>
      <w:bookmarkStart w:id="156" w:name="_Toc14684"/>
      <w:bookmarkStart w:id="157" w:name="_Toc17998"/>
      <w:bookmarkStart w:id="158" w:name="_Toc17064"/>
      <w:bookmarkStart w:id="159" w:name="_Toc3792"/>
      <w:r>
        <w:rPr>
          <w:rFonts w:hint="eastAsia"/>
          <w:b/>
          <w:bCs w:val="0"/>
          <w:lang w:val="en-US" w:eastAsia="zh-CN"/>
        </w:rPr>
        <w:t>7.污染清除作业安全方案</w:t>
      </w:r>
      <w:bookmarkEnd w:id="153"/>
      <w:bookmarkEnd w:id="154"/>
      <w:bookmarkEnd w:id="155"/>
      <w:bookmarkEnd w:id="156"/>
      <w:bookmarkEnd w:id="157"/>
      <w:bookmarkEnd w:id="158"/>
      <w:bookmarkEnd w:id="159"/>
      <w:bookmarkStart w:id="160" w:name="_Toc298434813"/>
      <w:bookmarkStart w:id="161" w:name="_Toc297910049"/>
      <w:bookmarkStart w:id="162" w:name="_Toc298434480"/>
    </w:p>
    <w:p w14:paraId="0CEF39EB">
      <w:pPr>
        <w:spacing w:line="500" w:lineRule="exact"/>
        <w:ind w:firstLine="640" w:firstLineChars="200"/>
        <w:rPr>
          <w:rFonts w:hint="eastAsia"/>
        </w:rPr>
      </w:pPr>
      <w:bookmarkStart w:id="163" w:name="_Toc32395"/>
      <w:bookmarkStart w:id="164" w:name="_Toc31354"/>
      <w:bookmarkStart w:id="165" w:name="_Toc26784"/>
      <w:r>
        <w:rPr>
          <w:rFonts w:hint="eastAsia"/>
        </w:rPr>
        <w:t>7.1布放充气式围油栏</w:t>
      </w:r>
      <w:bookmarkEnd w:id="160"/>
      <w:bookmarkEnd w:id="161"/>
      <w:bookmarkEnd w:id="162"/>
      <w:bookmarkEnd w:id="163"/>
      <w:bookmarkEnd w:id="164"/>
      <w:bookmarkEnd w:id="165"/>
    </w:p>
    <w:p w14:paraId="7A00313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7.1.1吸气机的放置若靠船尾过近，会有危险，易使围油栏在收放过程中因左右摇摆而使充气机操作员落水。充气机操作人员启动机器后要离开，站在安全处看守待命；</w:t>
      </w:r>
    </w:p>
    <w:p w14:paraId="459B1D7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7.1.2在充气时，由于充气人员随围油栏的下行而移动，在移动过程中会碰到脚下的固定钢丝，易摔倒；充气人员要看清脚底，动作迅速；</w:t>
      </w:r>
    </w:p>
    <w:p w14:paraId="7628572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7.1.3充气时，若围油栏施放过快，充气人员又因只顾充气，不看前方而随之落水。应使围油栏施放人员时刻注意，配合充气人员。尽量在离船尾五米处充气结束；</w:t>
      </w:r>
    </w:p>
    <w:p w14:paraId="79B4F61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7.1.4施放固体式围油栏时船上空间较为拥挤，又有多量缆绳，操作人员有可能被绳索缠住落海。投放时除投锚人员外其他人都应离开危险区域，投锚人员要注意脚底，切忌站在绳圈内；</w:t>
      </w:r>
    </w:p>
    <w:p w14:paraId="07CDD05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7.1.5风浪较大时，人员容易晕船呕吐，可能失足落水。因此大于6级风时不能作业。作业人员应互相看护。必要时拴保险绳；</w:t>
      </w:r>
    </w:p>
    <w:p w14:paraId="739C246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7.1.6人员监督不到位，导致意外事故的发生。要加强监督人员责任心、认真履行职责；</w:t>
      </w:r>
    </w:p>
    <w:p w14:paraId="432AE215">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7.1.7管理上船舶配合不好，造成围油栏撕裂。要统一指挥，加强配合。</w:t>
      </w:r>
      <w:bookmarkStart w:id="166" w:name="_Toc297910050"/>
      <w:bookmarkStart w:id="167" w:name="_Toc298434814"/>
      <w:bookmarkStart w:id="168" w:name="_Toc298434481"/>
    </w:p>
    <w:p w14:paraId="2EFF2223">
      <w:pPr>
        <w:spacing w:line="500" w:lineRule="exact"/>
        <w:ind w:firstLine="640" w:firstLineChars="200"/>
        <w:rPr>
          <w:rFonts w:hint="eastAsia"/>
        </w:rPr>
      </w:pPr>
      <w:bookmarkStart w:id="169" w:name="_Toc13645"/>
      <w:bookmarkStart w:id="170" w:name="_Toc24950"/>
      <w:bookmarkStart w:id="171" w:name="_Toc21332"/>
      <w:r>
        <w:rPr>
          <w:rFonts w:hint="eastAsia"/>
        </w:rPr>
        <w:t>7.2船载收油机的操作</w:t>
      </w:r>
      <w:bookmarkEnd w:id="166"/>
      <w:bookmarkEnd w:id="167"/>
      <w:bookmarkEnd w:id="168"/>
      <w:bookmarkEnd w:id="169"/>
      <w:bookmarkEnd w:id="170"/>
      <w:bookmarkEnd w:id="171"/>
    </w:p>
    <w:p w14:paraId="4E3D3C9E">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7.2.1巡查液压动力站有无异响、渗漏，压力表是否正常，各部件是否松动。</w:t>
      </w:r>
    </w:p>
    <w:p w14:paraId="0D2C2F74">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7.2.2垃圾回收带及浮油回收带升降时，禁止超过限位开关。</w:t>
      </w:r>
    </w:p>
    <w:p w14:paraId="27597771">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7.2.3如垃圾回收带卡死，立即停机，清理垃圾回收带的杂物。</w:t>
      </w:r>
    </w:p>
    <w:p w14:paraId="14155AD9">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7.2.4巡查抽油泵有无异响，发现异常及时停机检查。</w:t>
      </w:r>
    </w:p>
    <w:p w14:paraId="76C45FE8">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7.2.5如动力站冷却水供应不足，会造成设备过热甚至烧毁，发生事故。操控台人员在启动设备前要确认冷却水泵已经正常运转，在操作中经常检查液压油温是否过高，一旦发现立即停机检查。</w:t>
      </w:r>
      <w:bookmarkStart w:id="172" w:name="_Toc297910051"/>
      <w:bookmarkStart w:id="173" w:name="_Toc298434815"/>
      <w:bookmarkStart w:id="174" w:name="_Toc298434482"/>
    </w:p>
    <w:p w14:paraId="741315DC">
      <w:pPr>
        <w:spacing w:line="500" w:lineRule="exact"/>
        <w:ind w:firstLine="640" w:firstLineChars="200"/>
        <w:rPr>
          <w:rFonts w:hint="eastAsia"/>
        </w:rPr>
      </w:pPr>
      <w:bookmarkStart w:id="175" w:name="_Toc4027"/>
      <w:bookmarkStart w:id="176" w:name="_Toc28934"/>
      <w:bookmarkStart w:id="177" w:name="_Toc18075"/>
      <w:r>
        <w:rPr>
          <w:rFonts w:hint="eastAsia"/>
        </w:rPr>
        <w:t>7.3吊放设备</w:t>
      </w:r>
      <w:bookmarkEnd w:id="172"/>
      <w:bookmarkEnd w:id="173"/>
      <w:bookmarkEnd w:id="174"/>
      <w:bookmarkEnd w:id="175"/>
      <w:bookmarkEnd w:id="176"/>
      <w:bookmarkEnd w:id="177"/>
    </w:p>
    <w:p w14:paraId="5FF6BBBD">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负重钢丝绳、索具断开，吊重失衡，脱落，砸伤附近人员或设备。起吊前，要慎重选择和检查索具，务使索具超过本身负荷，严禁起吊物下站人，不要使重物从员工或重要设施上方通过。</w:t>
      </w:r>
      <w:bookmarkStart w:id="178" w:name="_Toc297910052"/>
      <w:bookmarkStart w:id="179" w:name="_Toc298434816"/>
      <w:bookmarkStart w:id="180" w:name="_Toc298434483"/>
    </w:p>
    <w:p w14:paraId="09B0A1B9">
      <w:pPr>
        <w:spacing w:line="500" w:lineRule="exact"/>
        <w:ind w:firstLine="640" w:firstLineChars="200"/>
        <w:rPr>
          <w:rFonts w:hint="eastAsia"/>
        </w:rPr>
      </w:pPr>
      <w:bookmarkStart w:id="181" w:name="_Toc14481"/>
      <w:bookmarkStart w:id="182" w:name="_Toc30255"/>
      <w:bookmarkStart w:id="183" w:name="_Toc1292"/>
      <w:r>
        <w:rPr>
          <w:rFonts w:hint="eastAsia"/>
        </w:rPr>
        <w:t>7.4喷洒</w:t>
      </w:r>
      <w:bookmarkEnd w:id="178"/>
      <w:bookmarkEnd w:id="179"/>
      <w:bookmarkEnd w:id="180"/>
      <w:r>
        <w:rPr>
          <w:rFonts w:hint="eastAsia"/>
        </w:rPr>
        <w:t>溢油分散剂</w:t>
      </w:r>
      <w:bookmarkEnd w:id="181"/>
      <w:bookmarkEnd w:id="182"/>
      <w:bookmarkEnd w:id="183"/>
    </w:p>
    <w:p w14:paraId="777B0CAB">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溢油分散剂落到甲板上后，会使甲板变得极滑，易使人员滑倒落水。喷洒溢油分散剂时必须穿防滑鞋，溢油分散剂洒落到甲板上后应及时擦干。</w:t>
      </w:r>
      <w:bookmarkStart w:id="184" w:name="_Toc298434484"/>
      <w:bookmarkStart w:id="185" w:name="_Toc298434817"/>
      <w:bookmarkStart w:id="186" w:name="_Toc297910053"/>
    </w:p>
    <w:p w14:paraId="0EB7A642">
      <w:pPr>
        <w:spacing w:line="500" w:lineRule="exact"/>
        <w:ind w:firstLine="640" w:firstLineChars="200"/>
        <w:rPr>
          <w:rFonts w:hint="eastAsia"/>
        </w:rPr>
      </w:pPr>
      <w:bookmarkStart w:id="187" w:name="_Toc28521"/>
      <w:bookmarkStart w:id="188" w:name="_Toc11805"/>
      <w:bookmarkStart w:id="189" w:name="_Toc19465"/>
      <w:r>
        <w:rPr>
          <w:rFonts w:hint="eastAsia"/>
        </w:rPr>
        <w:t>7.5有毒有害及易燃气体检测</w:t>
      </w:r>
      <w:bookmarkEnd w:id="184"/>
      <w:bookmarkEnd w:id="185"/>
      <w:bookmarkEnd w:id="186"/>
      <w:bookmarkEnd w:id="187"/>
      <w:bookmarkEnd w:id="188"/>
      <w:bookmarkEnd w:id="189"/>
      <w:bookmarkStart w:id="190" w:name="_Toc297910054"/>
      <w:bookmarkStart w:id="191" w:name="_Toc298434485"/>
      <w:bookmarkStart w:id="192" w:name="_Toc298434818"/>
    </w:p>
    <w:p w14:paraId="2E446B23">
      <w:pPr>
        <w:pStyle w:val="9"/>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作业开展前，要做好作业区域有毒有害气体如硫化氢等及易燃气体的检测，确保安全后，方可实施作业。</w:t>
      </w:r>
      <w:bookmarkEnd w:id="190"/>
      <w:bookmarkEnd w:id="191"/>
      <w:bookmarkEnd w:id="192"/>
      <w:bookmarkStart w:id="193" w:name="_Toc298434486"/>
      <w:bookmarkStart w:id="194" w:name="_Toc297910055"/>
      <w:bookmarkStart w:id="195" w:name="_Toc298434819"/>
    </w:p>
    <w:p w14:paraId="40643097">
      <w:pPr>
        <w:spacing w:line="500" w:lineRule="exact"/>
        <w:ind w:firstLine="640" w:firstLineChars="200"/>
        <w:rPr>
          <w:rFonts w:hint="eastAsia"/>
        </w:rPr>
      </w:pPr>
      <w:bookmarkStart w:id="196" w:name="_Toc23117"/>
      <w:bookmarkStart w:id="197" w:name="_Toc4976"/>
      <w:bookmarkStart w:id="198" w:name="_Toc4581"/>
      <w:r>
        <w:rPr>
          <w:rFonts w:hint="eastAsia"/>
        </w:rPr>
        <w:t>7.6劳动保护</w:t>
      </w:r>
      <w:bookmarkEnd w:id="193"/>
      <w:bookmarkEnd w:id="194"/>
      <w:bookmarkEnd w:id="195"/>
      <w:bookmarkEnd w:id="196"/>
      <w:bookmarkEnd w:id="197"/>
      <w:bookmarkEnd w:id="198"/>
    </w:p>
    <w:p w14:paraId="59BF6481">
      <w:pPr>
        <w:tabs>
          <w:tab w:val="left" w:pos="594"/>
        </w:tabs>
        <w:adjustRightInd w:val="0"/>
        <w:snapToGrid w:val="0"/>
        <w:spacing w:line="500" w:lineRule="exact"/>
        <w:ind w:firstLine="640" w:firstLineChars="200"/>
        <w:rPr>
          <w:rFonts w:hint="eastAsia" w:cs="仿宋"/>
          <w:kern w:val="0"/>
          <w:szCs w:val="32"/>
          <w:lang w:bidi="ar"/>
        </w:rPr>
      </w:pPr>
      <w:r>
        <w:rPr>
          <w:rFonts w:hint="eastAsia" w:cs="仿宋"/>
          <w:kern w:val="0"/>
          <w:szCs w:val="32"/>
          <w:lang w:bidi="ar"/>
        </w:rPr>
        <w:t>出海作业人员要按照作业规定正确穿戴劳动保护用品，包括：安全帽、救生衣、防护服、防滑防砸鞋、劳保手套等。作业过程中，要安排专人做好安全监督工作，防止意外伤亡事件发生。</w:t>
      </w:r>
    </w:p>
    <w:p w14:paraId="488C84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905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kern w:val="2"/>
      <w:sz w:val="32"/>
      <w:szCs w:val="24"/>
      <w:lang w:val="en-US" w:eastAsia="zh-CN" w:bidi="ar-SA"/>
    </w:rPr>
  </w:style>
  <w:style w:type="paragraph" w:styleId="2">
    <w:name w:val="heading 1"/>
    <w:basedOn w:val="1"/>
    <w:next w:val="1"/>
    <w:qFormat/>
    <w:uiPriority w:val="0"/>
    <w:pPr>
      <w:keepNext/>
      <w:keepLines/>
      <w:spacing w:line="560" w:lineRule="exact"/>
      <w:jc w:val="center"/>
      <w:outlineLvl w:val="0"/>
    </w:pPr>
    <w:rPr>
      <w:rFonts w:ascii="Times New Roman" w:hAnsi="Times New Roman" w:eastAsia="仿宋"/>
      <w:b/>
      <w:bCs/>
      <w:kern w:val="44"/>
      <w:sz w:val="32"/>
      <w:szCs w:val="44"/>
    </w:rPr>
  </w:style>
  <w:style w:type="paragraph" w:styleId="3">
    <w:name w:val="heading 2"/>
    <w:basedOn w:val="1"/>
    <w:next w:val="1"/>
    <w:link w:val="8"/>
    <w:qFormat/>
    <w:uiPriority w:val="0"/>
    <w:pPr>
      <w:keepNext/>
      <w:keepLines/>
      <w:spacing w:line="560" w:lineRule="exact"/>
      <w:jc w:val="left"/>
      <w:outlineLvl w:val="1"/>
    </w:pPr>
    <w:rPr>
      <w:rFonts w:ascii="宋体" w:hAnsi="宋体" w:eastAsia="华文仿宋"/>
      <w:bCs/>
      <w:color w:val="000000"/>
      <w:kern w:val="0"/>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Hyperlink"/>
    <w:basedOn w:val="6"/>
    <w:unhideWhenUsed/>
    <w:qFormat/>
    <w:uiPriority w:val="99"/>
    <w:rPr>
      <w:color w:val="0000FF"/>
      <w:u w:val="single"/>
    </w:rPr>
  </w:style>
  <w:style w:type="character" w:customStyle="1" w:styleId="8">
    <w:name w:val="标题 2 Char"/>
    <w:link w:val="3"/>
    <w:qFormat/>
    <w:uiPriority w:val="0"/>
    <w:rPr>
      <w:rFonts w:ascii="宋体" w:hAnsi="宋体" w:eastAsia="华文仿宋"/>
      <w:bCs/>
      <w:color w:val="000000"/>
      <w:kern w:val="0"/>
      <w:szCs w:val="20"/>
    </w:rPr>
  </w:style>
  <w:style w:type="paragraph" w:customStyle="1" w:styleId="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3</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2025-05-19T08:08:12Z</dcterms:created>
  <dc:creator>Administrator</dc:creator>
  <cp:lastModifiedBy>wps</cp:lastModifiedBy>
  <dcterms:modified xsi:type="dcterms:W3CDTF">2025-05-19T08:12:04Z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2E95A254FEA740ABA2DE9BA9BC6BFC0E_12</vt:lpwstr>
  </property>
</Properties>
</file>