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40" w:lineRule="auto"/>
        <w:rPr>
          <w:b w:val="0"/>
          <w:bCs w:val="0"/>
          <w:sz w:val="36"/>
          <w:szCs w:val="36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海洋石油船舶中心</w:t>
      </w:r>
      <w:r>
        <w:rPr>
          <w:b w:val="0"/>
          <w:bCs w:val="0"/>
          <w:sz w:val="36"/>
          <w:szCs w:val="36"/>
        </w:rPr>
        <w:t>环境监测计划</w:t>
      </w:r>
    </w:p>
    <w:p>
      <w:pPr>
        <w:pStyle w:val="2"/>
        <w:spacing w:line="240" w:lineRule="auto"/>
        <w:ind w:firstLine="640"/>
        <w:rPr>
          <w:rFonts w:hint="eastAsia"/>
        </w:rPr>
      </w:pPr>
      <w:bookmarkStart w:id="0" w:name="_GoBack"/>
      <w:bookmarkEnd w:id="0"/>
    </w:p>
    <w:p>
      <w:pPr>
        <w:pStyle w:val="2"/>
        <w:spacing w:line="240" w:lineRule="auto"/>
        <w:ind w:firstLine="640"/>
      </w:pPr>
      <w:r>
        <w:rPr>
          <w:rFonts w:hint="eastAsia"/>
        </w:rPr>
        <w:t>一</w:t>
      </w:r>
      <w:r>
        <w:t>、水质监测</w:t>
      </w:r>
    </w:p>
    <w:p>
      <w:pPr>
        <w:pStyle w:val="3"/>
        <w:spacing w:line="240" w:lineRule="auto"/>
        <w:ind w:firstLine="643"/>
        <w:rPr>
          <w:rFonts w:hint="eastAsia" w:ascii="楷体" w:hAnsi="楷体" w:eastAsia="楷体"/>
          <w:b/>
          <w:lang w:val="en-US" w:eastAsia="zh-CN"/>
        </w:rPr>
      </w:pPr>
      <w:r>
        <w:rPr>
          <w:rFonts w:ascii="楷体" w:hAnsi="楷体" w:eastAsia="楷体"/>
          <w:b/>
        </w:rPr>
        <w:t>（</w:t>
      </w:r>
      <w:r>
        <w:rPr>
          <w:rFonts w:hint="eastAsia" w:ascii="楷体" w:hAnsi="楷体" w:eastAsia="楷体"/>
          <w:b/>
        </w:rPr>
        <w:t>一</w:t>
      </w:r>
      <w:r>
        <w:rPr>
          <w:rFonts w:ascii="楷体" w:hAnsi="楷体" w:eastAsia="楷体"/>
          <w:b/>
        </w:rPr>
        <w:t>）</w:t>
      </w:r>
      <w:r>
        <w:rPr>
          <w:rFonts w:hint="eastAsia" w:ascii="楷体" w:hAnsi="楷体" w:eastAsia="楷体"/>
          <w:b/>
        </w:rPr>
        <w:t>地</w:t>
      </w:r>
      <w:r>
        <w:rPr>
          <w:rFonts w:hint="eastAsia" w:ascii="楷体" w:hAnsi="楷体" w:eastAsia="楷体"/>
          <w:b/>
          <w:lang w:val="en-US" w:eastAsia="zh-CN"/>
        </w:rPr>
        <w:t>下</w:t>
      </w:r>
      <w:r>
        <w:rPr>
          <w:rFonts w:hint="eastAsia" w:ascii="楷体" w:hAnsi="楷体" w:eastAsia="楷体"/>
          <w:b/>
        </w:rPr>
        <w:t>水</w:t>
      </w:r>
      <w:r>
        <w:rPr>
          <w:rFonts w:hint="eastAsia" w:ascii="楷体" w:hAnsi="楷体" w:eastAsia="楷体"/>
          <w:b/>
          <w:lang w:val="en-US" w:eastAsia="zh-CN"/>
        </w:rPr>
        <w:t>环境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根据《工业企业土壤和地下水自行监测技术指南（试行）》（HJ1209-2021）及东营港环保局监测要求开展监测。</w:t>
      </w:r>
    </w:p>
    <w:p>
      <w:pPr>
        <w:spacing w:line="240" w:lineRule="auto"/>
        <w:ind w:firstLine="640"/>
        <w:rPr>
          <w:color w:val="auto"/>
        </w:rPr>
      </w:pPr>
      <w:r>
        <w:t>监测点位：</w:t>
      </w:r>
      <w:r>
        <w:rPr>
          <w:rFonts w:hint="eastAsia"/>
        </w:rPr>
        <w:t>监测</w:t>
      </w:r>
      <w:r>
        <w:rPr>
          <w:color w:val="auto"/>
        </w:rPr>
        <w:t>海洋石油船舶中心</w:t>
      </w:r>
      <w:r>
        <w:rPr>
          <w:rFonts w:hint="eastAsia"/>
          <w:color w:val="auto"/>
          <w:lang w:val="en-US" w:eastAsia="zh-CN"/>
        </w:rPr>
        <w:t>东营港胜利码头、龙口港务管理中心厂界、成品油库</w:t>
      </w:r>
      <w:r>
        <w:rPr>
          <w:rFonts w:hint="eastAsia"/>
          <w:color w:val="auto"/>
        </w:rPr>
        <w:t>。</w:t>
      </w:r>
    </w:p>
    <w:p>
      <w:pPr>
        <w:spacing w:line="240" w:lineRule="auto"/>
        <w:ind w:firstLine="640"/>
      </w:pPr>
      <w:r>
        <w:t>监测项目：</w:t>
      </w:r>
      <w:r>
        <w:rPr>
          <w:rFonts w:hint="eastAsia"/>
        </w:rPr>
        <w:t>总硬、COD、SS等15项</w:t>
      </w:r>
      <w:r>
        <w:t>。</w:t>
      </w:r>
    </w:p>
    <w:p>
      <w:pPr>
        <w:spacing w:line="240" w:lineRule="auto"/>
        <w:ind w:firstLine="640"/>
        <w:rPr>
          <w:rFonts w:hint="default"/>
          <w:lang w:val="en-US" w:eastAsia="zh-CN"/>
        </w:rPr>
      </w:pPr>
      <w:r>
        <w:t>监测频率：</w:t>
      </w:r>
      <w:r>
        <w:rPr>
          <w:rFonts w:hint="eastAsia"/>
        </w:rPr>
        <w:t>1次/</w:t>
      </w:r>
      <w:r>
        <w:rPr>
          <w:rFonts w:hint="eastAsia"/>
          <w:lang w:val="en-US" w:eastAsia="zh-CN"/>
        </w:rPr>
        <w:t>半年</w:t>
      </w:r>
      <w:r>
        <w:t>。</w:t>
      </w:r>
    </w:p>
    <w:p>
      <w:pPr>
        <w:pStyle w:val="2"/>
        <w:spacing w:line="240" w:lineRule="auto"/>
        <w:ind w:firstLine="640"/>
      </w:pPr>
      <w:r>
        <w:rPr>
          <w:rFonts w:hint="eastAsia"/>
        </w:rPr>
        <w:t>二、</w:t>
      </w:r>
      <w:r>
        <w:t>废气监测</w:t>
      </w:r>
    </w:p>
    <w:p>
      <w:pPr>
        <w:pStyle w:val="3"/>
        <w:spacing w:line="240" w:lineRule="auto"/>
        <w:ind w:firstLine="643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（一）食堂油烟监测</w:t>
      </w:r>
    </w:p>
    <w:p>
      <w:pPr>
        <w:spacing w:line="240" w:lineRule="auto"/>
        <w:ind w:firstLine="640"/>
      </w:pPr>
      <w:r>
        <w:rPr>
          <w:rFonts w:hint="eastAsia"/>
        </w:rPr>
        <w:t>依据《关于规范餐厅、食堂油烟净化设备环保管理工作的通知》（集团工单能环</w:t>
      </w:r>
      <w:r>
        <w:t>〔202</w:t>
      </w:r>
      <w:r>
        <w:rPr>
          <w:rFonts w:hint="eastAsia"/>
        </w:rPr>
        <w:t>1</w:t>
      </w:r>
      <w:r>
        <w:t>〕</w:t>
      </w:r>
      <w:r>
        <w:rPr>
          <w:rFonts w:hint="eastAsia"/>
        </w:rPr>
        <w:t>74号）开展监测。</w:t>
      </w:r>
    </w:p>
    <w:p>
      <w:pPr>
        <w:spacing w:line="240" w:lineRule="auto"/>
        <w:ind w:firstLine="64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监测点位：船舶中心食堂3个。</w:t>
      </w:r>
    </w:p>
    <w:p>
      <w:pPr>
        <w:spacing w:line="240" w:lineRule="auto"/>
        <w:ind w:firstLine="640"/>
      </w:pPr>
      <w:r>
        <w:rPr>
          <w:rFonts w:hint="eastAsia"/>
        </w:rPr>
        <w:t>监测项目：油烟、非甲烷总烃。</w:t>
      </w:r>
    </w:p>
    <w:p>
      <w:pPr>
        <w:spacing w:line="240" w:lineRule="auto"/>
        <w:ind w:firstLine="640"/>
      </w:pPr>
      <w:r>
        <w:rPr>
          <w:rFonts w:hint="eastAsia"/>
        </w:rPr>
        <w:t>监测频率：1次/</w:t>
      </w:r>
      <w:r>
        <w:rPr>
          <w:rFonts w:hint="eastAsia"/>
          <w:lang w:val="en-US" w:eastAsia="zh-CN"/>
        </w:rPr>
        <w:t>年</w:t>
      </w:r>
      <w:r>
        <w:rPr>
          <w:rFonts w:hint="eastAsia"/>
        </w:rPr>
        <w:t>。</w:t>
      </w:r>
    </w:p>
    <w:p>
      <w:pPr>
        <w:widowControl/>
        <w:spacing w:line="240" w:lineRule="auto"/>
        <w:ind w:firstLine="640"/>
      </w:pPr>
      <w:r>
        <w:rPr>
          <w:rFonts w:hint="eastAsia"/>
        </w:rPr>
        <w:t>执行标准：《山东省饮食油烟排放标准》(</w:t>
      </w:r>
      <w:r>
        <w:t>DB37/597-2006</w:t>
      </w:r>
      <w:r>
        <w:rPr>
          <w:rFonts w:hint="eastAsia"/>
        </w:rPr>
        <w:t>)。</w:t>
      </w:r>
    </w:p>
    <w:p>
      <w:pPr>
        <w:pStyle w:val="3"/>
        <w:spacing w:line="240" w:lineRule="auto"/>
        <w:ind w:firstLine="643"/>
        <w:rPr>
          <w:rFonts w:ascii="楷体" w:hAnsi="楷体" w:eastAsia="楷体"/>
          <w:b/>
        </w:rPr>
      </w:pPr>
      <w:r>
        <w:rPr>
          <w:rFonts w:ascii="楷体" w:hAnsi="楷体" w:eastAsia="楷体"/>
          <w:b/>
        </w:rPr>
        <w:t>（</w:t>
      </w:r>
      <w:r>
        <w:rPr>
          <w:rFonts w:hint="eastAsia" w:ascii="楷体" w:hAnsi="楷体" w:eastAsia="楷体"/>
          <w:b/>
          <w:lang w:val="en-US" w:eastAsia="zh-CN"/>
        </w:rPr>
        <w:t>二</w:t>
      </w:r>
      <w:r>
        <w:rPr>
          <w:rFonts w:ascii="楷体" w:hAnsi="楷体" w:eastAsia="楷体"/>
          <w:b/>
        </w:rPr>
        <w:t>）厂界无组织废气监测</w:t>
      </w:r>
    </w:p>
    <w:p>
      <w:pPr>
        <w:spacing w:line="240" w:lineRule="auto"/>
        <w:ind w:firstLine="640"/>
      </w:pPr>
      <w:r>
        <w:t>依据《排污单位自行监测技术指南陆上石油天然气开采工业》（HJ1248-2022）、《东营市重点企业挥发性有机物集中治理工作方案》（东政办发明电〔2020〕28号）及《胜利油田挥发性有机物治理攻坚行动方案》（胜油QHSSE〔2020〕37号）</w:t>
      </w:r>
      <w:r>
        <w:rPr>
          <w:rFonts w:hint="eastAsia"/>
        </w:rPr>
        <w:t>等开展监测。</w:t>
      </w:r>
    </w:p>
    <w:p>
      <w:pPr>
        <w:spacing w:line="240" w:lineRule="auto"/>
        <w:ind w:firstLine="640"/>
      </w:pPr>
      <w:r>
        <w:t>监测</w:t>
      </w:r>
      <w:r>
        <w:rPr>
          <w:rFonts w:hint="eastAsia"/>
        </w:rPr>
        <w:t>点位：</w:t>
      </w:r>
      <w:r>
        <w:rPr>
          <w:rFonts w:hint="eastAsia"/>
          <w:lang w:val="en-US" w:eastAsia="zh-CN"/>
        </w:rPr>
        <w:t>海洋石油船舶中心东营胜利港、港务管理中心（龙口厂区、成品油库）</w:t>
      </w:r>
      <w:r>
        <w:t>等站库厂界上风向1个点位、下风向3个点位。</w:t>
      </w:r>
    </w:p>
    <w:p>
      <w:pPr>
        <w:spacing w:line="240" w:lineRule="auto"/>
        <w:ind w:firstLine="640"/>
      </w:pPr>
      <w:r>
        <w:t>监测项目：总烃、非甲烷总烃、硫化氢</w:t>
      </w:r>
      <w:r>
        <w:rPr>
          <w:rFonts w:hint="eastAsia"/>
        </w:rPr>
        <w:t>（仅含硫单元监测）</w:t>
      </w:r>
      <w:r>
        <w:t>、气象参数（气温、气压、风向、风速）。</w:t>
      </w:r>
    </w:p>
    <w:p>
      <w:pPr>
        <w:spacing w:line="240" w:lineRule="auto"/>
        <w:ind w:firstLine="640"/>
      </w:pPr>
      <w:r>
        <w:t>监测频率：</w:t>
      </w:r>
      <w:r>
        <w:rPr>
          <w:rFonts w:hint="eastAsia"/>
        </w:rPr>
        <w:t>1次/</w:t>
      </w:r>
      <w:r>
        <w:rPr>
          <w:rFonts w:hint="eastAsia"/>
          <w:lang w:val="en-US" w:eastAsia="zh-CN"/>
        </w:rPr>
        <w:t>季度</w:t>
      </w:r>
      <w:r>
        <w:t>。</w:t>
      </w:r>
    </w:p>
    <w:p>
      <w:pPr>
        <w:pStyle w:val="3"/>
        <w:spacing w:line="240" w:lineRule="auto"/>
        <w:ind w:firstLine="643"/>
        <w:rPr>
          <w:rFonts w:hint="eastAsia" w:ascii="黑体" w:hAnsi="黑体" w:eastAsia="黑体" w:cs="黑体"/>
          <w:b/>
        </w:rPr>
      </w:pPr>
      <w:r>
        <w:rPr>
          <w:rFonts w:hint="eastAsia" w:ascii="黑体" w:hAnsi="黑体" w:eastAsia="黑体" w:cs="黑体"/>
        </w:rPr>
        <w:t>三、</w:t>
      </w:r>
      <w:r>
        <w:rPr>
          <w:rFonts w:hint="eastAsia" w:ascii="黑体" w:hAnsi="黑体" w:eastAsia="黑体" w:cs="黑体"/>
          <w:b w:val="0"/>
          <w:bCs w:val="0"/>
        </w:rPr>
        <w:t>厂界噪声监测</w:t>
      </w:r>
    </w:p>
    <w:p>
      <w:pPr>
        <w:spacing w:line="240" w:lineRule="auto"/>
        <w:ind w:firstLine="640"/>
      </w:pPr>
      <w:r>
        <w:t>监测点位：</w:t>
      </w:r>
      <w:r>
        <w:rPr>
          <w:rFonts w:hint="eastAsia"/>
          <w:color w:val="auto"/>
          <w:lang w:val="en-US" w:eastAsia="zh-CN"/>
        </w:rPr>
        <w:t>船舶中心</w:t>
      </w:r>
      <w:r>
        <w:rPr>
          <w:color w:val="auto"/>
        </w:rPr>
        <w:t>厂界</w:t>
      </w:r>
      <w:r>
        <w:rPr>
          <w:rFonts w:hint="eastAsia"/>
          <w:color w:val="auto"/>
          <w:lang w:val="en-US" w:eastAsia="zh-CN"/>
        </w:rPr>
        <w:t>噪声（港务管理中心胜利港码头）</w:t>
      </w:r>
      <w:r>
        <w:rPr>
          <w:color w:val="auto"/>
        </w:rPr>
        <w:t>。</w:t>
      </w:r>
    </w:p>
    <w:p>
      <w:pPr>
        <w:spacing w:line="240" w:lineRule="auto"/>
        <w:ind w:firstLine="640"/>
      </w:pPr>
      <w:r>
        <w:t>监测项目：等效</w:t>
      </w:r>
      <w:r>
        <w:rPr>
          <w:rFonts w:hint="eastAsia"/>
        </w:rPr>
        <w:t>连续A</w:t>
      </w:r>
      <w:r>
        <w:t>声级（Leq）（昼夜）。</w:t>
      </w:r>
    </w:p>
    <w:p>
      <w:pPr>
        <w:spacing w:line="240" w:lineRule="auto"/>
        <w:ind w:firstLine="640"/>
      </w:pPr>
      <w:r>
        <w:t>监测频率：</w:t>
      </w:r>
      <w:r>
        <w:rPr>
          <w:rFonts w:hint="eastAsia"/>
        </w:rPr>
        <w:t>1次/</w:t>
      </w:r>
      <w:r>
        <w:rPr>
          <w:rFonts w:hint="eastAsia"/>
          <w:lang w:val="en-US" w:eastAsia="zh-CN"/>
        </w:rPr>
        <w:t>季度（</w:t>
      </w:r>
      <w:r>
        <w:rPr>
          <w:rFonts w:hint="eastAsia"/>
          <w:color w:val="auto"/>
          <w:lang w:val="en-US" w:eastAsia="zh-CN"/>
        </w:rPr>
        <w:t>东营、龙口</w:t>
      </w:r>
      <w:r>
        <w:rPr>
          <w:rFonts w:hint="eastAsia"/>
          <w:lang w:val="en-US" w:eastAsia="zh-CN"/>
        </w:rPr>
        <w:t>）</w:t>
      </w:r>
      <w:r>
        <w:t>。</w:t>
      </w:r>
    </w:p>
    <w:p>
      <w:pPr>
        <w:spacing w:line="240" w:lineRule="auto"/>
        <w:ind w:firstLine="640"/>
      </w:pPr>
      <w:r>
        <w:rPr>
          <w:rFonts w:hint="eastAsia"/>
        </w:rPr>
        <w:t>执行标准：</w:t>
      </w:r>
      <w:r>
        <w:t>《工业企业厂界环境噪声排放标准》（GB12348-2008）</w:t>
      </w:r>
      <w:r>
        <w:rPr>
          <w:rFonts w:hint="eastAsia"/>
        </w:rPr>
        <w:t>。</w:t>
      </w:r>
    </w:p>
    <w:p>
      <w:pPr>
        <w:pStyle w:val="2"/>
        <w:spacing w:line="240" w:lineRule="auto"/>
        <w:ind w:firstLine="640"/>
      </w:pPr>
      <w:r>
        <w:rPr>
          <w:rFonts w:hint="eastAsia"/>
        </w:rPr>
        <w:t>四、土壤监测</w:t>
      </w:r>
    </w:p>
    <w:p>
      <w:pPr>
        <w:spacing w:line="240" w:lineRule="auto"/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监测点位：船舶中心龙口、桩西厂界土壤监测（其中龙口成品油库取深层土壤点位一个）。</w:t>
      </w:r>
    </w:p>
    <w:p>
      <w:pPr>
        <w:spacing w:line="240" w:lineRule="auto"/>
        <w:ind w:firstLine="64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监测项目：砷镉铬铜铅汞镍等47项指标。</w:t>
      </w:r>
    </w:p>
    <w:p>
      <w:pPr>
        <w:spacing w:line="240" w:lineRule="auto"/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监测频率：1次/年。</w:t>
      </w:r>
    </w:p>
    <w:p>
      <w:pPr>
        <w:spacing w:line="240" w:lineRule="auto"/>
        <w:ind w:firstLine="640"/>
        <w:rPr>
          <w:rFonts w:hint="eastAsia" w:ascii="仿宋_GB2312" w:hAnsi="仿宋_GB2312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/>
          <w:lang w:val="en-US" w:eastAsia="zh-CN"/>
        </w:rPr>
        <w:t>执行标准：</w:t>
      </w:r>
      <w:r>
        <w:rPr>
          <w:rFonts w:hint="eastAsia" w:ascii="仿宋_GB2312" w:hAnsi="仿宋_GB2312" w:eastAsia="仿宋_GB2312" w:cs="Times New Roman"/>
          <w:kern w:val="2"/>
          <w:sz w:val="32"/>
          <w:szCs w:val="22"/>
          <w:lang w:val="en-US" w:eastAsia="zh-CN" w:bidi="ar-SA"/>
        </w:rPr>
        <w:t>《排污单位自行监测技术指南陆上石油天然气开采工业》（HJ1248-2022）《土壤环境监测技术规范》 （HJ/T166-2004）</w:t>
      </w:r>
      <w:r>
        <w:rPr>
          <w:rFonts w:hint="eastAsia" w:cs="Times New Roman"/>
          <w:kern w:val="2"/>
          <w:sz w:val="32"/>
          <w:szCs w:val="22"/>
          <w:lang w:val="en-US" w:eastAsia="zh-CN" w:bidi="ar-SA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66BA1"/>
    <w:rsid w:val="13EB7A07"/>
    <w:rsid w:val="20686F71"/>
    <w:rsid w:val="29986C4B"/>
    <w:rsid w:val="2C700692"/>
    <w:rsid w:val="3F832E17"/>
    <w:rsid w:val="50AA5A32"/>
    <w:rsid w:val="5472679A"/>
    <w:rsid w:val="5C674A48"/>
    <w:rsid w:val="5F10603C"/>
    <w:rsid w:val="6E3349D6"/>
    <w:rsid w:val="79B4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643"/>
      <w:outlineLvl w:val="0"/>
    </w:pPr>
    <w:rPr>
      <w:rFonts w:ascii="黑体" w:hAnsi="黑体" w:eastAsia="黑体"/>
      <w:bCs/>
      <w:kern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楷体_GB2312" w:hAnsi="楷体_GB2312" w:eastAsia="楷体_GB2312"/>
      <w:bCs/>
      <w:kern w:val="0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te Heading"/>
    <w:basedOn w:val="1"/>
    <w:next w:val="1"/>
    <w:unhideWhenUsed/>
    <w:qFormat/>
    <w:uiPriority w:val="99"/>
    <w:pPr>
      <w:jc w:val="center"/>
    </w:pPr>
  </w:style>
  <w:style w:type="paragraph" w:customStyle="1" w:styleId="7">
    <w:name w:val="附件"/>
    <w:basedOn w:val="1"/>
    <w:next w:val="1"/>
    <w:qFormat/>
    <w:uiPriority w:val="0"/>
    <w:pPr>
      <w:keepNext/>
      <w:keepLines/>
      <w:ind w:firstLine="0" w:firstLineChars="0"/>
      <w:outlineLvl w:val="1"/>
    </w:pPr>
    <w:rPr>
      <w:rFonts w:ascii="黑体" w:hAnsi="黑体" w:eastAsia="黑体"/>
      <w:kern w:val="0"/>
      <w:szCs w:val="32"/>
    </w:rPr>
  </w:style>
  <w:style w:type="paragraph" w:customStyle="1" w:styleId="8">
    <w:name w:val="大标题"/>
    <w:basedOn w:val="1"/>
    <w:next w:val="1"/>
    <w:qFormat/>
    <w:uiPriority w:val="0"/>
    <w:pPr>
      <w:keepNext/>
      <w:keepLines/>
      <w:spacing w:line="600" w:lineRule="exact"/>
      <w:ind w:firstLine="0" w:firstLineChars="0"/>
      <w:jc w:val="center"/>
      <w:outlineLvl w:val="0"/>
    </w:pPr>
    <w:rPr>
      <w:rFonts w:ascii="方正小标宋简体" w:hAnsi="方正小标宋简体" w:eastAsia="方正小标宋简体"/>
      <w:kern w:val="44"/>
      <w:sz w:val="44"/>
      <w:szCs w:val="44"/>
    </w:rPr>
  </w:style>
  <w:style w:type="paragraph" w:customStyle="1" w:styleId="9">
    <w:name w:val="图表题注"/>
    <w:basedOn w:val="10"/>
    <w:next w:val="10"/>
    <w:qFormat/>
    <w:uiPriority w:val="0"/>
    <w:pPr>
      <w:keepNext/>
    </w:pPr>
    <w:rPr>
      <w:rFonts w:ascii="黑体" w:hAnsi="黑体" w:eastAsia="黑体"/>
      <w:bCs/>
      <w:szCs w:val="28"/>
    </w:rPr>
  </w:style>
  <w:style w:type="paragraph" w:customStyle="1" w:styleId="10">
    <w:name w:val="表正文"/>
    <w:basedOn w:val="1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color w:val="000000"/>
      <w:sz w:val="21"/>
      <w:szCs w:val="21"/>
    </w:rPr>
  </w:style>
  <w:style w:type="paragraph" w:customStyle="1" w:styleId="11">
    <w:name w:val="公文正文"/>
    <w:qFormat/>
    <w:uiPriority w:val="0"/>
    <w:pPr>
      <w:spacing w:line="360" w:lineRule="auto"/>
      <w:ind w:firstLine="640" w:firstLineChars="200"/>
    </w:pPr>
    <w:rPr>
      <w:rFonts w:ascii="仿宋_GB2312" w:hAnsi="仿宋_GB2312" w:eastAsia="仿宋_GB2312" w:cs="仿宋_GB2312"/>
      <w:sz w:val="32"/>
      <w:szCs w:val="32"/>
      <w:lang w:val="en-US" w:eastAsia="zh-CN" w:bidi="ar-SA"/>
    </w:rPr>
  </w:style>
  <w:style w:type="paragraph" w:customStyle="1" w:styleId="12">
    <w:name w:val="图表表头"/>
    <w:basedOn w:val="4"/>
    <w:next w:val="13"/>
    <w:qFormat/>
    <w:uiPriority w:val="0"/>
    <w:pPr>
      <w:keepNext/>
      <w:spacing w:line="240" w:lineRule="auto"/>
      <w:ind w:firstLine="0" w:firstLineChars="0"/>
    </w:pPr>
    <w:rPr>
      <w:rFonts w:ascii="黑体" w:hAnsi="黑体" w:eastAsia="黑体"/>
      <w:b/>
      <w:bCs/>
      <w:sz w:val="21"/>
      <w:szCs w:val="28"/>
    </w:rPr>
  </w:style>
  <w:style w:type="paragraph" w:customStyle="1" w:styleId="13">
    <w:name w:val="表内容"/>
    <w:basedOn w:val="4"/>
    <w:next w:val="10"/>
    <w:qFormat/>
    <w:uiPriority w:val="0"/>
    <w:pPr>
      <w:spacing w:line="240" w:lineRule="auto"/>
      <w:ind w:firstLine="0" w:firstLineChars="0"/>
    </w:pPr>
    <w:rPr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Office_11.8.0.16970_F1E327BC-269C-435d-A152-05C5408002CA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2023-03-22T10:00:00Z</dcterms:created>
  <dc:creator>user</dc:creator>
  <cp:lastModifiedBy>Administrator</cp:lastModifiedBy>
  <dcterms:modified xsi:type="dcterms:W3CDTF">2024-12-25T07:38:44Z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2052-11.8.0.16970</vt:lpwstr>
  </property>
  <property fmtid="{D5CDD505-2E9C-101B-9397-08002B2CF9AE}" pid="3" name="ICV">
    <vt:lpwstr>1CB1FCA33B56499EA59A19C6673579D1</vt:lpwstr>
  </property>
</Properties>
</file>