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2562" w14:textId="6D44263B" w:rsidR="002A27B0" w:rsidRPr="002A27B0" w:rsidRDefault="00183066" w:rsidP="00004F23">
      <w:pPr>
        <w:pStyle w:val="afa"/>
        <w:widowControl w:val="0"/>
        <w:spacing w:after="0" w:line="240" w:lineRule="auto"/>
        <w:ind w:left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183066">
        <w:rPr>
          <w:rFonts w:asciiTheme="minorEastAsia" w:eastAsiaTheme="minorEastAsia" w:hAnsiTheme="minorEastAsia" w:hint="eastAsia"/>
          <w:b/>
          <w:sz w:val="30"/>
          <w:szCs w:val="30"/>
        </w:rPr>
        <w:t>春风油田排691西扩产能建设工程</w:t>
      </w:r>
      <w:sdt>
        <w:sdtPr>
          <w:rPr>
            <w:rFonts w:asciiTheme="minorEastAsia" w:eastAsiaTheme="minorEastAsia" w:hAnsiTheme="minorEastAsia" w:hint="eastAsia"/>
            <w:b/>
            <w:sz w:val="30"/>
            <w:szCs w:val="30"/>
          </w:rPr>
          <w:alias w:val="项目名称"/>
          <w:tag w:val="项目名称"/>
          <w:id w:val="1588880379"/>
          <w:showingPlcHdr/>
          <w:text/>
        </w:sdtPr>
        <w:sdtEndPr/>
        <w:sdtContent>
          <w:r>
            <w:rPr>
              <w:rFonts w:asciiTheme="minorEastAsia" w:eastAsiaTheme="minorEastAsia" w:hAnsiTheme="minorEastAsia"/>
              <w:b/>
              <w:sz w:val="30"/>
              <w:szCs w:val="30"/>
            </w:rPr>
            <w:t xml:space="preserve">     </w:t>
          </w:r>
        </w:sdtContent>
      </w:sdt>
    </w:p>
    <w:p w14:paraId="4B0F1B09" w14:textId="236D0C83" w:rsidR="00BC47C4" w:rsidRPr="000803E5" w:rsidRDefault="00BC47C4" w:rsidP="00004F23">
      <w:pPr>
        <w:pStyle w:val="afa"/>
        <w:widowControl w:val="0"/>
        <w:spacing w:after="0" w:line="240" w:lineRule="auto"/>
        <w:ind w:left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803E5">
        <w:rPr>
          <w:rFonts w:asciiTheme="minorEastAsia" w:eastAsiaTheme="minorEastAsia" w:hAnsiTheme="minorEastAsia" w:hint="eastAsia"/>
          <w:b/>
          <w:sz w:val="30"/>
          <w:szCs w:val="30"/>
        </w:rPr>
        <w:t>环境保护设施竣工日期公示</w:t>
      </w:r>
    </w:p>
    <w:p w14:paraId="1D8CFA78" w14:textId="77777777" w:rsidR="00637FD2" w:rsidRDefault="00637FD2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</w:p>
    <w:p w14:paraId="44718B09" w14:textId="7FA6F34D" w:rsidR="00004F23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1、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建设地点</w:t>
      </w:r>
      <w:r w:rsidR="00A6293B" w:rsidRPr="00D34615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183066" w:rsidRPr="00183066">
        <w:rPr>
          <w:rFonts w:asciiTheme="minorEastAsia" w:eastAsiaTheme="minorEastAsia" w:hAnsiTheme="minorEastAsia" w:hint="eastAsia"/>
          <w:sz w:val="24"/>
          <w:szCs w:val="28"/>
        </w:rPr>
        <w:t>新疆维吾尔自治区克拉玛依市克拉玛依区春风油田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52EFB002" w14:textId="77777777" w:rsidR="000803E5" w:rsidRPr="00D34615" w:rsidRDefault="000803E5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</w:p>
    <w:p w14:paraId="50403177" w14:textId="4B45FBB4" w:rsidR="002A27B0" w:rsidRPr="002A27B0" w:rsidRDefault="002A27B0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主要建设内容：</w:t>
      </w:r>
      <w:r w:rsidR="00183066" w:rsidRPr="00183066">
        <w:rPr>
          <w:rFonts w:asciiTheme="minorEastAsia" w:eastAsiaTheme="minorEastAsia" w:hAnsiTheme="minorEastAsia" w:hint="eastAsia"/>
          <w:sz w:val="24"/>
          <w:szCs w:val="28"/>
        </w:rPr>
        <w:t>本项目</w:t>
      </w:r>
      <w:bookmarkStart w:id="0" w:name="_GoBack"/>
      <w:bookmarkEnd w:id="0"/>
      <w:r w:rsidR="00183066" w:rsidRPr="00183066">
        <w:rPr>
          <w:rFonts w:asciiTheme="minorEastAsia" w:eastAsiaTheme="minorEastAsia" w:hAnsiTheme="minorEastAsia" w:hint="eastAsia"/>
          <w:sz w:val="24"/>
          <w:szCs w:val="28"/>
        </w:rPr>
        <w:t>新建了25口井，依托老井2口。部署了5座丛式井场，新建了Φ114×7单井集油管线0.951km和Φ159×7集油干线1.307km；新建了D114×13注汽管线1.98km和D89×11注汽管线0.66km，和另外配套建设了供配电、通信、自控、进井道路等工程。</w:t>
      </w:r>
    </w:p>
    <w:p w14:paraId="49B67BEB" w14:textId="77777777" w:rsidR="000803E5" w:rsidRPr="002A27B0" w:rsidRDefault="000803E5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</w:p>
    <w:p w14:paraId="78BCD077" w14:textId="0724AD67" w:rsidR="00BC47C4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3、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根据《建设项目竣工环境保护管理条例》（中华人民共和国国务院</w:t>
      </w:r>
      <w:r w:rsidR="00BC47C4" w:rsidRPr="00D34615">
        <w:rPr>
          <w:rFonts w:asciiTheme="minorEastAsia" w:eastAsiaTheme="minorEastAsia" w:hAnsiTheme="minorEastAsia"/>
          <w:sz w:val="24"/>
          <w:szCs w:val="28"/>
        </w:rPr>
        <w:t>682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号令）、《关于发布</w:t>
      </w:r>
      <w:r w:rsidR="00BC47C4" w:rsidRPr="00D34615">
        <w:rPr>
          <w:rFonts w:asciiTheme="minorEastAsia" w:eastAsiaTheme="minorEastAsia" w:hAnsiTheme="minorEastAsia"/>
          <w:sz w:val="24"/>
          <w:szCs w:val="28"/>
        </w:rPr>
        <w:t>&lt;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建设项目竣工环境保护验收暂行办法</w:t>
      </w:r>
      <w:r w:rsidR="00BC47C4" w:rsidRPr="00D34615">
        <w:rPr>
          <w:rFonts w:asciiTheme="minorEastAsia" w:eastAsiaTheme="minorEastAsia" w:hAnsiTheme="minorEastAsia"/>
          <w:sz w:val="24"/>
          <w:szCs w:val="28"/>
        </w:rPr>
        <w:t>&gt;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的公告》（国环规环评</w:t>
      </w:r>
      <w:r w:rsidR="00BC47C4" w:rsidRPr="00D34615">
        <w:rPr>
          <w:rFonts w:asciiTheme="minorEastAsia" w:eastAsiaTheme="minorEastAsia" w:hAnsiTheme="minorEastAsia"/>
          <w:sz w:val="24"/>
          <w:szCs w:val="28"/>
        </w:rPr>
        <w:t>[2017]4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号）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Pr="00D34615">
        <w:rPr>
          <w:rFonts w:asciiTheme="minorEastAsia" w:eastAsiaTheme="minorEastAsia" w:hAnsiTheme="minorEastAsia"/>
          <w:sz w:val="24"/>
          <w:szCs w:val="28"/>
        </w:rPr>
        <w:t>《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胜利</w:t>
      </w:r>
      <w:r w:rsidRPr="00D34615">
        <w:rPr>
          <w:rFonts w:asciiTheme="minorEastAsia" w:eastAsiaTheme="minorEastAsia" w:hAnsiTheme="minorEastAsia"/>
          <w:sz w:val="24"/>
          <w:szCs w:val="28"/>
        </w:rPr>
        <w:t>油田建设项目竣工环境保护验收指南》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（胜</w:t>
      </w:r>
      <w:r w:rsidRPr="00D34615">
        <w:rPr>
          <w:rFonts w:asciiTheme="minorEastAsia" w:eastAsiaTheme="minorEastAsia" w:hAnsiTheme="minorEastAsia"/>
          <w:sz w:val="24"/>
          <w:szCs w:val="28"/>
        </w:rPr>
        <w:t>油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QHSE[</w:t>
      </w:r>
      <w:r w:rsidRPr="00D34615">
        <w:rPr>
          <w:rFonts w:asciiTheme="minorEastAsia" w:eastAsiaTheme="minorEastAsia" w:hAnsiTheme="minorEastAsia"/>
          <w:sz w:val="24"/>
          <w:szCs w:val="28"/>
        </w:rPr>
        <w:t>2019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]</w:t>
      </w:r>
      <w:r w:rsidRPr="00D34615">
        <w:rPr>
          <w:rFonts w:asciiTheme="minorEastAsia" w:eastAsiaTheme="minorEastAsia" w:hAnsiTheme="minorEastAsia"/>
          <w:sz w:val="24"/>
          <w:szCs w:val="28"/>
        </w:rPr>
        <w:t>39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号）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等文件相关规定，现将</w:t>
      </w:r>
      <w:sdt>
        <w:sdtPr>
          <w:rPr>
            <w:rFonts w:asciiTheme="minorEastAsia" w:eastAsiaTheme="minorEastAsia" w:hAnsiTheme="minorEastAsia" w:hint="eastAsia"/>
            <w:sz w:val="24"/>
            <w:szCs w:val="28"/>
          </w:rPr>
          <w:alias w:val="项目名称"/>
          <w:tag w:val="项目名称"/>
          <w:id w:val="1988511820"/>
          <w:text/>
        </w:sdtPr>
        <w:sdtEndPr/>
        <w:sdtContent>
          <w:r w:rsidR="00183066" w:rsidRPr="00183066">
            <w:rPr>
              <w:rFonts w:asciiTheme="minorEastAsia" w:eastAsiaTheme="minorEastAsia" w:hAnsiTheme="minorEastAsia" w:hint="eastAsia"/>
              <w:sz w:val="24"/>
              <w:szCs w:val="28"/>
            </w:rPr>
            <w:t>春风油田排691西扩产能建设工程</w:t>
          </w:r>
        </w:sdtContent>
      </w:sdt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环境保护设施竣工日期进行公示。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本项目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环境保护设施竣工日期为</w:t>
      </w:r>
      <w:r w:rsidRPr="00D34615">
        <w:rPr>
          <w:rFonts w:asciiTheme="minorEastAsia" w:eastAsiaTheme="minorEastAsia" w:hAnsiTheme="minorEastAsia"/>
          <w:sz w:val="24"/>
          <w:szCs w:val="28"/>
        </w:rPr>
        <w:t>20</w:t>
      </w:r>
      <w:r w:rsidR="006072A2">
        <w:rPr>
          <w:rFonts w:asciiTheme="minorEastAsia" w:eastAsiaTheme="minorEastAsia" w:hAnsiTheme="minorEastAsia"/>
          <w:sz w:val="24"/>
          <w:szCs w:val="28"/>
        </w:rPr>
        <w:t>23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年</w:t>
      </w:r>
      <w:r w:rsidR="006072A2">
        <w:rPr>
          <w:rFonts w:asciiTheme="minorEastAsia" w:eastAsiaTheme="minorEastAsia" w:hAnsiTheme="minorEastAsia"/>
          <w:sz w:val="24"/>
          <w:szCs w:val="28"/>
        </w:rPr>
        <w:t>12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月</w:t>
      </w:r>
      <w:r w:rsidR="006072A2">
        <w:rPr>
          <w:rFonts w:asciiTheme="minorEastAsia" w:eastAsiaTheme="minorEastAsia" w:hAnsiTheme="minorEastAsia"/>
          <w:sz w:val="24"/>
          <w:szCs w:val="28"/>
        </w:rPr>
        <w:t>18</w:t>
      </w:r>
      <w:r w:rsidR="006072A2">
        <w:rPr>
          <w:rFonts w:asciiTheme="minorEastAsia" w:eastAsiaTheme="minorEastAsia" w:hAnsiTheme="minorEastAsia" w:hint="eastAsia"/>
          <w:sz w:val="24"/>
          <w:szCs w:val="28"/>
        </w:rPr>
        <w:t>日</w:t>
      </w:r>
      <w:r w:rsidR="00BC47C4" w:rsidRPr="00D34615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7E966D39" w14:textId="77777777" w:rsidR="00004F23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</w:p>
    <w:p w14:paraId="6BE9179E" w14:textId="1FE6C810" w:rsidR="00CD7334" w:rsidRPr="00D34615" w:rsidRDefault="00CD7334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建设单位：</w:t>
      </w:r>
      <w:r w:rsidR="00183066">
        <w:rPr>
          <w:rFonts w:ascii="Times New Roman" w:hAnsi="Times New Roman"/>
          <w:sz w:val="24"/>
          <w:szCs w:val="24"/>
        </w:rPr>
        <w:t>中石化新疆新春石油开发有限责任公司</w:t>
      </w:r>
    </w:p>
    <w:p w14:paraId="683C0899" w14:textId="3945B8C2" w:rsidR="00004F23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联系人</w:t>
      </w:r>
      <w:r w:rsidRPr="00D34615">
        <w:rPr>
          <w:rFonts w:asciiTheme="minorEastAsia" w:eastAsiaTheme="minorEastAsia" w:hAnsiTheme="minorEastAsia"/>
          <w:sz w:val="24"/>
          <w:szCs w:val="28"/>
        </w:rPr>
        <w:t>：</w:t>
      </w:r>
      <w:r w:rsidR="00183066">
        <w:rPr>
          <w:rFonts w:asciiTheme="minorEastAsia" w:eastAsiaTheme="minorEastAsia" w:hAnsiTheme="minorEastAsia" w:hint="eastAsia"/>
          <w:sz w:val="24"/>
          <w:szCs w:val="28"/>
        </w:rPr>
        <w:t>金云鹏</w:t>
      </w:r>
    </w:p>
    <w:p w14:paraId="6222CDB1" w14:textId="508661BE" w:rsidR="00004F23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联系电话</w:t>
      </w:r>
      <w:r w:rsidRPr="00D34615">
        <w:rPr>
          <w:rFonts w:asciiTheme="minorEastAsia" w:eastAsiaTheme="minorEastAsia" w:hAnsiTheme="minorEastAsia"/>
          <w:sz w:val="24"/>
          <w:szCs w:val="28"/>
        </w:rPr>
        <w:t>：</w:t>
      </w:r>
      <w:r w:rsidR="00183066">
        <w:rPr>
          <w:rFonts w:asciiTheme="minorEastAsia" w:eastAsiaTheme="minorEastAsia" w:hAnsiTheme="minorEastAsia"/>
          <w:sz w:val="24"/>
          <w:szCs w:val="28"/>
        </w:rPr>
        <w:t>15315054143</w:t>
      </w:r>
    </w:p>
    <w:p w14:paraId="6C39DFA8" w14:textId="66FB6427" w:rsidR="00004F23" w:rsidRPr="00D34615" w:rsidRDefault="00004F23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 w:hint="eastAsia"/>
          <w:sz w:val="24"/>
          <w:szCs w:val="28"/>
        </w:rPr>
        <w:t>联系地址</w:t>
      </w:r>
      <w:r w:rsidRPr="00D34615">
        <w:rPr>
          <w:rFonts w:asciiTheme="minorEastAsia" w:eastAsiaTheme="minorEastAsia" w:hAnsiTheme="minorEastAsia"/>
          <w:sz w:val="24"/>
          <w:szCs w:val="28"/>
        </w:rPr>
        <w:t>：</w:t>
      </w:r>
      <w:r w:rsidR="00183066">
        <w:rPr>
          <w:rFonts w:asciiTheme="minorEastAsia" w:eastAsiaTheme="minorEastAsia" w:hAnsiTheme="minorEastAsia" w:hint="eastAsia"/>
          <w:sz w:val="24"/>
          <w:szCs w:val="28"/>
        </w:rPr>
        <w:t>山东省东营市东营区西四路胜建大厦</w:t>
      </w:r>
    </w:p>
    <w:p w14:paraId="02949044" w14:textId="77777777" w:rsidR="00FB298B" w:rsidRDefault="00FB298B" w:rsidP="00712251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</w:p>
    <w:p w14:paraId="03462081" w14:textId="1B0450A4" w:rsidR="007952A7" w:rsidRPr="00D34615" w:rsidRDefault="006072A2" w:rsidP="006072A2">
      <w:pPr>
        <w:widowControl w:val="0"/>
        <w:adjustRightInd w:val="0"/>
        <w:snapToGrid w:val="0"/>
        <w:spacing w:after="0" w:line="331" w:lineRule="auto"/>
        <w:jc w:val="both"/>
        <w:rPr>
          <w:rFonts w:asciiTheme="minorEastAsia" w:eastAsiaTheme="minorEastAsia" w:hAnsiTheme="minorEastAsia"/>
          <w:sz w:val="24"/>
          <w:szCs w:val="28"/>
        </w:rPr>
      </w:pPr>
      <w:r w:rsidRPr="00D34615">
        <w:rPr>
          <w:rFonts w:asciiTheme="minorEastAsia" w:eastAsiaTheme="minorEastAsia" w:hAnsiTheme="minorEastAsia"/>
          <w:sz w:val="24"/>
          <w:szCs w:val="28"/>
        </w:rPr>
        <w:t>20</w:t>
      </w:r>
      <w:r>
        <w:rPr>
          <w:rFonts w:asciiTheme="minorEastAsia" w:eastAsiaTheme="minorEastAsia" w:hAnsiTheme="minorEastAsia"/>
          <w:sz w:val="24"/>
          <w:szCs w:val="28"/>
        </w:rPr>
        <w:t>23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年</w:t>
      </w:r>
      <w:r>
        <w:rPr>
          <w:rFonts w:asciiTheme="minorEastAsia" w:eastAsiaTheme="minorEastAsia" w:hAnsiTheme="minorEastAsia"/>
          <w:sz w:val="24"/>
          <w:szCs w:val="28"/>
        </w:rPr>
        <w:t>12</w:t>
      </w:r>
      <w:r w:rsidRPr="00D34615">
        <w:rPr>
          <w:rFonts w:asciiTheme="minorEastAsia" w:eastAsiaTheme="minorEastAsia" w:hAnsiTheme="minorEastAsia" w:hint="eastAsia"/>
          <w:sz w:val="24"/>
          <w:szCs w:val="28"/>
        </w:rPr>
        <w:t>月</w:t>
      </w:r>
      <w:r>
        <w:rPr>
          <w:rFonts w:asciiTheme="minorEastAsia" w:eastAsiaTheme="minorEastAsia" w:hAnsiTheme="minorEastAsia"/>
          <w:sz w:val="24"/>
          <w:szCs w:val="28"/>
        </w:rPr>
        <w:t>18</w:t>
      </w:r>
      <w:r>
        <w:rPr>
          <w:rFonts w:asciiTheme="minorEastAsia" w:eastAsiaTheme="minorEastAsia" w:hAnsiTheme="minorEastAsia" w:hint="eastAsia"/>
          <w:sz w:val="24"/>
          <w:szCs w:val="28"/>
        </w:rPr>
        <w:t>日</w:t>
      </w:r>
    </w:p>
    <w:sectPr w:rsidR="007952A7" w:rsidRPr="00D34615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0300" w14:textId="77777777" w:rsidR="008B311F" w:rsidRDefault="008B311F">
      <w:r>
        <w:separator/>
      </w:r>
    </w:p>
    <w:p w14:paraId="1DA2E647" w14:textId="77777777" w:rsidR="008B311F" w:rsidRDefault="008B311F"/>
  </w:endnote>
  <w:endnote w:type="continuationSeparator" w:id="0">
    <w:p w14:paraId="0D330E1A" w14:textId="77777777" w:rsidR="008B311F" w:rsidRDefault="008B311F">
      <w:r>
        <w:continuationSeparator/>
      </w:r>
    </w:p>
    <w:p w14:paraId="7AB0BB35" w14:textId="77777777" w:rsidR="008B311F" w:rsidRDefault="008B3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A0BF" w14:textId="77777777" w:rsidR="008B311F" w:rsidRDefault="008B311F">
      <w:r>
        <w:separator/>
      </w:r>
    </w:p>
    <w:p w14:paraId="2A307DE1" w14:textId="77777777" w:rsidR="008B311F" w:rsidRDefault="008B311F"/>
  </w:footnote>
  <w:footnote w:type="continuationSeparator" w:id="0">
    <w:p w14:paraId="10FDB353" w14:textId="77777777" w:rsidR="008B311F" w:rsidRDefault="008B311F">
      <w:r>
        <w:continuationSeparator/>
      </w:r>
    </w:p>
    <w:p w14:paraId="6FD52FB8" w14:textId="77777777" w:rsidR="008B311F" w:rsidRDefault="008B31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9AB4" w14:textId="77777777" w:rsidR="005C0002" w:rsidRDefault="005C0002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</w:sdtPr>
      <w:sdtEndPr/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8F"/>
    <w:rsid w:val="00004F23"/>
    <w:rsid w:val="00025056"/>
    <w:rsid w:val="00025D7F"/>
    <w:rsid w:val="00031B1F"/>
    <w:rsid w:val="00035FE4"/>
    <w:rsid w:val="00063685"/>
    <w:rsid w:val="000803E5"/>
    <w:rsid w:val="00092689"/>
    <w:rsid w:val="00096C4A"/>
    <w:rsid w:val="000A3F65"/>
    <w:rsid w:val="000B1BCD"/>
    <w:rsid w:val="000C38CF"/>
    <w:rsid w:val="00102495"/>
    <w:rsid w:val="00115A7D"/>
    <w:rsid w:val="00122480"/>
    <w:rsid w:val="00141E5B"/>
    <w:rsid w:val="0015108A"/>
    <w:rsid w:val="00152FD5"/>
    <w:rsid w:val="00182DB3"/>
    <w:rsid w:val="00183066"/>
    <w:rsid w:val="001A0804"/>
    <w:rsid w:val="00211049"/>
    <w:rsid w:val="002754BD"/>
    <w:rsid w:val="00282CB2"/>
    <w:rsid w:val="002A27B0"/>
    <w:rsid w:val="002F441D"/>
    <w:rsid w:val="003042C4"/>
    <w:rsid w:val="00314452"/>
    <w:rsid w:val="0035102A"/>
    <w:rsid w:val="003516E9"/>
    <w:rsid w:val="003655AE"/>
    <w:rsid w:val="00386D20"/>
    <w:rsid w:val="00392EF4"/>
    <w:rsid w:val="003975A5"/>
    <w:rsid w:val="003A5DFA"/>
    <w:rsid w:val="003B40E2"/>
    <w:rsid w:val="0043478E"/>
    <w:rsid w:val="00480A23"/>
    <w:rsid w:val="004A271A"/>
    <w:rsid w:val="004E4EE8"/>
    <w:rsid w:val="004F731B"/>
    <w:rsid w:val="005120AA"/>
    <w:rsid w:val="005614AC"/>
    <w:rsid w:val="00565E3B"/>
    <w:rsid w:val="005973E0"/>
    <w:rsid w:val="005A69CA"/>
    <w:rsid w:val="005C0002"/>
    <w:rsid w:val="005C2BCB"/>
    <w:rsid w:val="005D025A"/>
    <w:rsid w:val="005D65A1"/>
    <w:rsid w:val="005E60EC"/>
    <w:rsid w:val="006072A2"/>
    <w:rsid w:val="00614032"/>
    <w:rsid w:val="00637FD2"/>
    <w:rsid w:val="006524FC"/>
    <w:rsid w:val="006528B2"/>
    <w:rsid w:val="00657F8B"/>
    <w:rsid w:val="006A2CBA"/>
    <w:rsid w:val="006E2C56"/>
    <w:rsid w:val="007021DE"/>
    <w:rsid w:val="00703F8F"/>
    <w:rsid w:val="00712251"/>
    <w:rsid w:val="007143BD"/>
    <w:rsid w:val="0072186C"/>
    <w:rsid w:val="00722806"/>
    <w:rsid w:val="00740BBA"/>
    <w:rsid w:val="00755356"/>
    <w:rsid w:val="007952A7"/>
    <w:rsid w:val="007A4DC7"/>
    <w:rsid w:val="007C008F"/>
    <w:rsid w:val="007C363E"/>
    <w:rsid w:val="007E0E17"/>
    <w:rsid w:val="007E10A6"/>
    <w:rsid w:val="007E1735"/>
    <w:rsid w:val="007E2DA4"/>
    <w:rsid w:val="008124B3"/>
    <w:rsid w:val="008416C2"/>
    <w:rsid w:val="008444F0"/>
    <w:rsid w:val="008513A0"/>
    <w:rsid w:val="008534BF"/>
    <w:rsid w:val="00886884"/>
    <w:rsid w:val="008B311F"/>
    <w:rsid w:val="0090736B"/>
    <w:rsid w:val="00931E45"/>
    <w:rsid w:val="009641F3"/>
    <w:rsid w:val="00981B73"/>
    <w:rsid w:val="00983950"/>
    <w:rsid w:val="00984425"/>
    <w:rsid w:val="009A46FF"/>
    <w:rsid w:val="009B3E1A"/>
    <w:rsid w:val="009D7CF4"/>
    <w:rsid w:val="009F52BE"/>
    <w:rsid w:val="00A002E9"/>
    <w:rsid w:val="00A2236A"/>
    <w:rsid w:val="00A54659"/>
    <w:rsid w:val="00A6293B"/>
    <w:rsid w:val="00A656E6"/>
    <w:rsid w:val="00A737E9"/>
    <w:rsid w:val="00A75B17"/>
    <w:rsid w:val="00A93343"/>
    <w:rsid w:val="00AA2160"/>
    <w:rsid w:val="00AC3511"/>
    <w:rsid w:val="00AF2DCD"/>
    <w:rsid w:val="00B07E92"/>
    <w:rsid w:val="00B07EC8"/>
    <w:rsid w:val="00B23F61"/>
    <w:rsid w:val="00B6288A"/>
    <w:rsid w:val="00B71E55"/>
    <w:rsid w:val="00B73128"/>
    <w:rsid w:val="00B76ADD"/>
    <w:rsid w:val="00B9127F"/>
    <w:rsid w:val="00B966A9"/>
    <w:rsid w:val="00BA1DE4"/>
    <w:rsid w:val="00BA2BA2"/>
    <w:rsid w:val="00BA55C9"/>
    <w:rsid w:val="00BB617F"/>
    <w:rsid w:val="00BC3D3B"/>
    <w:rsid w:val="00BC47C4"/>
    <w:rsid w:val="00BD1A3F"/>
    <w:rsid w:val="00BF7E22"/>
    <w:rsid w:val="00C0118E"/>
    <w:rsid w:val="00C01538"/>
    <w:rsid w:val="00CA7E4D"/>
    <w:rsid w:val="00CB083A"/>
    <w:rsid w:val="00CD7334"/>
    <w:rsid w:val="00D01FE0"/>
    <w:rsid w:val="00D03AA9"/>
    <w:rsid w:val="00D34615"/>
    <w:rsid w:val="00D41B57"/>
    <w:rsid w:val="00D5793E"/>
    <w:rsid w:val="00D7232C"/>
    <w:rsid w:val="00D91C07"/>
    <w:rsid w:val="00DA333F"/>
    <w:rsid w:val="00DB68D0"/>
    <w:rsid w:val="00DC1BDA"/>
    <w:rsid w:val="00E001AE"/>
    <w:rsid w:val="00E13775"/>
    <w:rsid w:val="00E15B38"/>
    <w:rsid w:val="00E21CA2"/>
    <w:rsid w:val="00E262B3"/>
    <w:rsid w:val="00EC612A"/>
    <w:rsid w:val="00EF1802"/>
    <w:rsid w:val="00F00770"/>
    <w:rsid w:val="00F26D0D"/>
    <w:rsid w:val="00F35339"/>
    <w:rsid w:val="00F44811"/>
    <w:rsid w:val="00F51934"/>
    <w:rsid w:val="00F54852"/>
    <w:rsid w:val="00F64553"/>
    <w:rsid w:val="00F90E42"/>
    <w:rsid w:val="00F9156E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F5819"/>
  <w15:chartTrackingRefBased/>
  <w15:docId w15:val="{EFE1B4DF-F0B8-4A26-B783-06D3EDEB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rsid w:val="00BC47C4"/>
    <w:pPr>
      <w:spacing w:after="200" w:line="276" w:lineRule="auto"/>
    </w:pPr>
    <w:rPr>
      <w:rFonts w:ascii="Calibri" w:eastAsia="宋体" w:hAnsi="Calibri" w:cs="Times New Roman"/>
      <w:kern w:val="0"/>
      <w:sz w:val="22"/>
      <w:szCs w:val="22"/>
    </w:r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widowControl w:val="0"/>
      <w:spacing w:after="0" w:line="240" w:lineRule="auto"/>
      <w:ind w:left="420"/>
    </w:pPr>
    <w:rPr>
      <w:rFonts w:asciiTheme="minorHAnsi" w:eastAsiaTheme="minorEastAsia" w:hAnsiTheme="minorHAnsi" w:cstheme="minorHAnsi"/>
      <w:kern w:val="2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widowControl w:val="0"/>
      <w:spacing w:before="240" w:after="60" w:line="240" w:lineRule="auto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pPr>
      <w:widowControl w:val="0"/>
      <w:spacing w:after="0" w:line="240" w:lineRule="auto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widowControl w:val="0"/>
      <w:numPr>
        <w:numId w:val="5"/>
      </w:numPr>
      <w:spacing w:after="0" w:line="240" w:lineRule="auto"/>
      <w:jc w:val="both"/>
      <w:outlineLvl w:val="1"/>
    </w:pPr>
    <w:rPr>
      <w:rFonts w:ascii="黑体" w:eastAsia="黑体" w:hAnsi="黑体" w:cstheme="minorBidi"/>
      <w:kern w:val="2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styleId="afa">
    <w:name w:val="List Paragraph"/>
    <w:basedOn w:val="a2"/>
    <w:uiPriority w:val="34"/>
    <w:qFormat/>
    <w:locked/>
    <w:rsid w:val="00BC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DB252-F065-47F2-A0BE-4FE95462ABB4}"/>
</file>

<file path=customXml/itemProps2.xml><?xml version="1.0" encoding="utf-8"?>
<ds:datastoreItem xmlns:ds="http://schemas.openxmlformats.org/officeDocument/2006/customXml" ds:itemID="{181F3A3F-9441-4431-9228-4BEE4580E054}"/>
</file>

<file path=customXml/itemProps3.xml><?xml version="1.0" encoding="utf-8"?>
<ds:datastoreItem xmlns:ds="http://schemas.openxmlformats.org/officeDocument/2006/customXml" ds:itemID="{8DAE47A7-555B-45AC-B125-74CB54FFCB90}"/>
</file>

<file path=customXml/itemProps4.xml><?xml version="1.0" encoding="utf-8"?>
<ds:datastoreItem xmlns:ds="http://schemas.openxmlformats.org/officeDocument/2006/customXml" ds:itemID="{61DAA80B-E979-46D6-8C8F-0BDE668CC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yaowenzhe</dc:creator>
  <cp:keywords/>
  <dc:description/>
  <cp:lastModifiedBy>DELL</cp:lastModifiedBy>
  <cp:revision>4</cp:revision>
  <cp:lastPrinted>2016-11-15T01:48:00Z</cp:lastPrinted>
  <dcterms:created xsi:type="dcterms:W3CDTF">2024-03-02T18:59:00Z</dcterms:created>
  <dcterms:modified xsi:type="dcterms:W3CDTF">2024-03-02T19:03:00Z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