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val="0"/>
        <w:autoSpaceDN w:val="0"/>
        <w:bidi w:val="0"/>
        <w:adjustRightInd w:val="0"/>
        <w:snapToGrid w:val="0"/>
        <w:spacing w:after="0"/>
        <w:ind w:left="0" w:leftChars="0" w:firstLine="0" w:firstLineChars="0"/>
        <w:jc w:val="center"/>
        <w:textAlignment w:val="auto"/>
        <w:rPr>
          <w:rFonts w:ascii="黑体" w:eastAsia="黑体" w:cs="黑体"/>
          <w:color w:val="000000"/>
          <w:sz w:val="32"/>
          <w:szCs w:val="32"/>
        </w:rPr>
      </w:pPr>
      <w:r>
        <w:rPr>
          <w:rFonts w:hint="eastAsia" w:ascii="黑体" w:eastAsia="黑体" w:cs="黑体"/>
          <w:color w:val="000000"/>
          <w:sz w:val="32"/>
          <w:szCs w:val="32"/>
          <w:lang w:eastAsia="zh-CN"/>
        </w:rPr>
        <w:t>济阳坳陷东营凹陷高青-平南断层上升盘花古601评价井项目</w:t>
      </w:r>
      <w:r>
        <w:rPr>
          <w:rFonts w:hint="eastAsia" w:ascii="黑体" w:eastAsia="黑体" w:cs="黑体"/>
          <w:color w:val="000000"/>
          <w:sz w:val="32"/>
          <w:szCs w:val="32"/>
        </w:rPr>
        <w:t>其他需要说明的事项</w:t>
      </w:r>
    </w:p>
    <w:p>
      <w:pPr>
        <w:autoSpaceDE/>
        <w:autoSpaceDN/>
        <w:adjustRightInd/>
        <w:spacing w:before="0" w:after="0" w:line="240" w:lineRule="auto"/>
        <w:outlineLvl w:val="9"/>
        <w:rPr>
          <w:rFonts w:hint="default" w:ascii="Times New Roman" w:hAnsi="Times New Roman" w:eastAsia="宋体" w:cs="Times New Roman"/>
          <w:kern w:val="0"/>
          <w:sz w:val="24"/>
        </w:rPr>
      </w:pPr>
      <w:bookmarkStart w:id="0" w:name="_Toc1711"/>
      <w:bookmarkStart w:id="1" w:name="_Toc26580"/>
      <w:bookmarkStart w:id="2" w:name="_Toc3231"/>
      <w:r>
        <w:rPr>
          <w:rFonts w:hint="default" w:ascii="Times New Roman" w:hAnsi="Times New Roman" w:eastAsia="宋体" w:cs="Times New Roman"/>
          <w:b/>
          <w:bCs/>
          <w:kern w:val="0"/>
          <w:sz w:val="28"/>
          <w:szCs w:val="28"/>
        </w:rPr>
        <w:t>1 环境保护设施设计、施工和验收过程简况</w:t>
      </w:r>
      <w:bookmarkEnd w:id="0"/>
      <w:bookmarkEnd w:id="1"/>
      <w:bookmarkEnd w:id="2"/>
    </w:p>
    <w:p>
      <w:pPr>
        <w:autoSpaceDE w:val="0"/>
        <w:autoSpaceDN w:val="0"/>
        <w:adjustRightInd w:val="0"/>
        <w:spacing w:before="60" w:after="60" w:line="360" w:lineRule="auto"/>
        <w:outlineLvl w:val="1"/>
        <w:rPr>
          <w:rFonts w:hint="default" w:ascii="Times New Roman" w:hAnsi="Times New Roman" w:eastAsia="宋体" w:cs="Times New Roman"/>
          <w:kern w:val="0"/>
          <w:sz w:val="24"/>
        </w:rPr>
      </w:pPr>
      <w:r>
        <w:rPr>
          <w:rFonts w:hint="default" w:ascii="Times New Roman" w:hAnsi="Times New Roman" w:eastAsia="宋体" w:cs="Times New Roman"/>
          <w:kern w:val="0"/>
          <w:sz w:val="24"/>
        </w:rPr>
        <w:t>1.1 设计简况</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本项目环境保护设施的设计在可行性研究报告中和初步设计时均有考虑。本项目新钻</w:t>
      </w:r>
      <w:r>
        <w:rPr>
          <w:rFonts w:hint="eastAsia" w:ascii="Times New Roman" w:hAnsi="Times New Roman" w:eastAsia="宋体" w:cs="Times New Roman"/>
          <w:color w:val="000000"/>
          <w:kern w:val="0"/>
          <w:sz w:val="24"/>
          <w:szCs w:val="24"/>
          <w:lang w:val="en-US" w:eastAsia="zh-CN" w:bidi="ar"/>
        </w:rPr>
        <w:t>花古601预探</w:t>
      </w:r>
      <w:r>
        <w:rPr>
          <w:rFonts w:hint="default" w:ascii="Times New Roman" w:hAnsi="Times New Roman" w:eastAsia="宋体" w:cs="Times New Roman"/>
          <w:color w:val="000000"/>
          <w:kern w:val="0"/>
          <w:sz w:val="24"/>
          <w:szCs w:val="24"/>
          <w:lang w:val="en-US" w:eastAsia="zh-CN" w:bidi="ar"/>
        </w:rPr>
        <w:t>井</w:t>
      </w:r>
      <w:r>
        <w:rPr>
          <w:rFonts w:hint="default" w:ascii="Times New Roman" w:hAnsi="Times New Roman" w:eastAsia="宋体" w:cs="Times New Roman"/>
          <w:color w:val="000000"/>
          <w:kern w:val="0"/>
          <w:sz w:val="24"/>
          <w:szCs w:val="24"/>
          <w:lang w:val="en-US" w:eastAsia="zh-CN" w:bidi="ar"/>
        </w:rPr>
        <w:t>1口，实际井深</w:t>
      </w:r>
      <w:r>
        <w:rPr>
          <w:rFonts w:hint="eastAsia" w:ascii="Times New Roman" w:hAnsi="Times New Roman" w:eastAsia="宋体" w:cs="Times New Roman"/>
          <w:color w:val="000000"/>
          <w:kern w:val="0"/>
          <w:sz w:val="24"/>
          <w:szCs w:val="24"/>
          <w:lang w:val="en-US" w:eastAsia="zh-CN" w:bidi="ar"/>
        </w:rPr>
        <w:t>2518</w:t>
      </w:r>
      <w:r>
        <w:rPr>
          <w:rFonts w:hint="default" w:ascii="Times New Roman" w:hAnsi="Times New Roman" w:eastAsia="宋体" w:cs="Times New Roman"/>
          <w:color w:val="000000"/>
          <w:kern w:val="0"/>
          <w:sz w:val="24"/>
          <w:szCs w:val="24"/>
          <w:lang w:val="en-US" w:eastAsia="zh-CN" w:bidi="ar"/>
        </w:rPr>
        <w:t>m。本项目实际总投资</w:t>
      </w:r>
      <w:r>
        <w:rPr>
          <w:rFonts w:hint="eastAsia" w:ascii="Times New Roman" w:hAnsi="Times New Roman" w:eastAsia="宋体" w:cs="Times New Roman"/>
          <w:color w:val="000000"/>
          <w:kern w:val="0"/>
          <w:sz w:val="24"/>
          <w:szCs w:val="24"/>
          <w:lang w:val="en-US" w:eastAsia="zh-CN" w:bidi="ar"/>
        </w:rPr>
        <w:t>520</w:t>
      </w:r>
      <w:r>
        <w:rPr>
          <w:rFonts w:hint="default" w:ascii="Times New Roman" w:hAnsi="Times New Roman" w:eastAsia="宋体" w:cs="Times New Roman"/>
          <w:color w:val="000000"/>
          <w:kern w:val="0"/>
          <w:sz w:val="24"/>
          <w:szCs w:val="24"/>
          <w:lang w:val="en-US" w:eastAsia="zh-CN" w:bidi="ar"/>
        </w:rPr>
        <w:t>万元，其中环保投资</w:t>
      </w:r>
      <w:r>
        <w:rPr>
          <w:rFonts w:hint="eastAsia" w:ascii="Times New Roman" w:hAnsi="Times New Roman" w:eastAsia="宋体" w:cs="Times New Roman"/>
          <w:color w:val="000000"/>
          <w:kern w:val="0"/>
          <w:sz w:val="24"/>
          <w:szCs w:val="24"/>
          <w:lang w:val="en-US" w:eastAsia="zh-CN" w:bidi="ar"/>
        </w:rPr>
        <w:t>21.5</w:t>
      </w:r>
      <w:r>
        <w:rPr>
          <w:rFonts w:hint="default" w:ascii="Times New Roman" w:hAnsi="Times New Roman" w:eastAsia="宋体" w:cs="Times New Roman"/>
          <w:color w:val="000000"/>
          <w:kern w:val="0"/>
          <w:sz w:val="24"/>
          <w:szCs w:val="24"/>
          <w:lang w:val="en-US" w:eastAsia="zh-CN" w:bidi="ar"/>
        </w:rPr>
        <w:t>万元。</w:t>
      </w:r>
    </w:p>
    <w:p>
      <w:pPr>
        <w:autoSpaceDE w:val="0"/>
        <w:autoSpaceDN w:val="0"/>
        <w:adjustRightInd w:val="0"/>
        <w:spacing w:before="60" w:after="60" w:line="360" w:lineRule="auto"/>
        <w:outlineLvl w:val="1"/>
        <w:rPr>
          <w:rFonts w:hint="default" w:ascii="Times New Roman" w:hAnsi="Times New Roman" w:eastAsia="宋体" w:cs="Times New Roman"/>
          <w:kern w:val="0"/>
          <w:sz w:val="24"/>
        </w:rPr>
      </w:pPr>
      <w:r>
        <w:rPr>
          <w:rFonts w:hint="default" w:ascii="Times New Roman" w:hAnsi="Times New Roman" w:eastAsia="宋体" w:cs="Times New Roman"/>
          <w:kern w:val="0"/>
          <w:sz w:val="24"/>
        </w:rPr>
        <w:t>1.2 施工简况</w:t>
      </w:r>
    </w:p>
    <w:p>
      <w:pPr>
        <w:keepNext w:val="0"/>
        <w:keepLines w:val="0"/>
        <w:pageBreakBefore w:val="0"/>
        <w:widowControl/>
        <w:kinsoku/>
        <w:wordWrap/>
        <w:overflowPunct/>
        <w:topLinePunct w:val="0"/>
        <w:autoSpaceDE w:val="0"/>
        <w:autoSpaceDN w:val="0"/>
        <w:bidi w:val="0"/>
        <w:adjustRightInd w:val="0"/>
        <w:snapToGrid w:val="0"/>
        <w:spacing w:after="100" w:line="332" w:lineRule="auto"/>
        <w:ind w:firstLine="480" w:firstLineChars="200"/>
        <w:textAlignment w:val="auto"/>
        <w:rPr>
          <w:rFonts w:hint="default" w:ascii="Times New Roman" w:hAnsi="Times New Roman" w:eastAsia="宋体" w:cs="Times New Roman"/>
          <w:kern w:val="0"/>
          <w:sz w:val="24"/>
        </w:rPr>
      </w:pPr>
      <w:r>
        <w:rPr>
          <w:rFonts w:hint="default" w:ascii="Times New Roman" w:hAnsi="Times New Roman" w:eastAsia="宋体" w:cs="Times New Roman"/>
          <w:kern w:val="0"/>
          <w:sz w:val="24"/>
        </w:rPr>
        <w:t>建设单位要求施工单位严格按照合同中要求，在确保环境保护措施的建设进度和资金的保障前提下，严格落实环境影响报告表及</w:t>
      </w:r>
      <w:r>
        <w:rPr>
          <w:rFonts w:hint="default" w:ascii="Times New Roman" w:hAnsi="Times New Roman" w:eastAsia="宋体" w:cs="Times New Roman"/>
          <w:kern w:val="0"/>
          <w:sz w:val="24"/>
          <w:lang w:eastAsia="zh-CN"/>
        </w:rPr>
        <w:t>“</w:t>
      </w:r>
      <w:r>
        <w:rPr>
          <w:rFonts w:hint="default" w:ascii="Times New Roman" w:hAnsi="Times New Roman" w:eastAsia="宋体" w:cs="Times New Roman"/>
          <w:kern w:val="0"/>
          <w:sz w:val="24"/>
          <w:lang w:val="en-US" w:eastAsia="zh-CN"/>
        </w:rPr>
        <w:t>高环</w:t>
      </w:r>
      <w:r>
        <w:rPr>
          <w:rFonts w:hint="default" w:ascii="Times New Roman" w:hAnsi="Times New Roman" w:eastAsia="宋体" w:cs="Times New Roman"/>
          <w:kern w:val="0"/>
          <w:sz w:val="24"/>
          <w:lang w:eastAsia="zh-CN"/>
        </w:rPr>
        <w:t>审[2017]</w:t>
      </w:r>
      <w:r>
        <w:rPr>
          <w:rFonts w:hint="default" w:ascii="Times New Roman" w:hAnsi="Times New Roman" w:eastAsia="宋体" w:cs="Times New Roman"/>
          <w:kern w:val="0"/>
          <w:sz w:val="24"/>
          <w:lang w:val="en-US" w:eastAsia="zh-CN"/>
        </w:rPr>
        <w:t>47</w:t>
      </w:r>
      <w:r>
        <w:rPr>
          <w:rFonts w:hint="default" w:ascii="Times New Roman" w:hAnsi="Times New Roman" w:eastAsia="宋体" w:cs="Times New Roman"/>
          <w:kern w:val="0"/>
          <w:sz w:val="24"/>
          <w:lang w:eastAsia="zh-CN"/>
        </w:rPr>
        <w:t>号”</w:t>
      </w:r>
      <w:r>
        <w:rPr>
          <w:rFonts w:hint="default" w:ascii="Times New Roman" w:hAnsi="Times New Roman" w:eastAsia="宋体" w:cs="Times New Roman"/>
          <w:color w:val="000000"/>
          <w:sz w:val="24"/>
          <w:lang w:val="en-US" w:eastAsia="zh-CN"/>
        </w:rPr>
        <w:t>文中</w:t>
      </w:r>
      <w:r>
        <w:rPr>
          <w:rFonts w:hint="default" w:ascii="Times New Roman" w:hAnsi="Times New Roman" w:eastAsia="宋体" w:cs="Times New Roman"/>
          <w:kern w:val="0"/>
          <w:sz w:val="24"/>
        </w:rPr>
        <w:t>提出的生态保护工程和污染防治措施。</w:t>
      </w:r>
    </w:p>
    <w:p>
      <w:pPr>
        <w:keepNext w:val="0"/>
        <w:keepLines w:val="0"/>
        <w:pageBreakBefore w:val="0"/>
        <w:widowControl/>
        <w:kinsoku/>
        <w:wordWrap/>
        <w:overflowPunct/>
        <w:topLinePunct w:val="0"/>
        <w:autoSpaceDE w:val="0"/>
        <w:autoSpaceDN w:val="0"/>
        <w:bidi w:val="0"/>
        <w:adjustRightInd w:val="0"/>
        <w:snapToGrid w:val="0"/>
        <w:spacing w:after="0" w:line="332" w:lineRule="auto"/>
        <w:textAlignment w:val="auto"/>
        <w:rPr>
          <w:rFonts w:hint="default" w:ascii="Times New Roman" w:hAnsi="Times New Roman" w:eastAsia="宋体" w:cs="Times New Roman"/>
          <w:kern w:val="0"/>
          <w:sz w:val="24"/>
        </w:rPr>
      </w:pPr>
      <w:r>
        <w:rPr>
          <w:rFonts w:hint="default" w:ascii="Times New Roman" w:hAnsi="Times New Roman" w:eastAsia="宋体" w:cs="Times New Roman"/>
          <w:kern w:val="0"/>
          <w:sz w:val="24"/>
        </w:rPr>
        <w:t>1.3 验收过程简况</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1）201</w:t>
      </w:r>
      <w:r>
        <w:rPr>
          <w:rFonts w:hint="eastAsia" w:ascii="Times New Roman" w:hAnsi="Times New Roman" w:eastAsia="宋体" w:cs="Times New Roman"/>
          <w:color w:val="000000"/>
          <w:kern w:val="0"/>
          <w:sz w:val="24"/>
          <w:szCs w:val="24"/>
          <w:lang w:val="en-US" w:eastAsia="zh-CN" w:bidi="ar"/>
        </w:rPr>
        <w:t>7</w:t>
      </w:r>
      <w:r>
        <w:rPr>
          <w:rFonts w:hint="default" w:ascii="Times New Roman" w:hAnsi="Times New Roman" w:eastAsia="宋体" w:cs="Times New Roman"/>
          <w:color w:val="000000"/>
          <w:kern w:val="0"/>
          <w:sz w:val="24"/>
          <w:szCs w:val="24"/>
          <w:lang w:val="en-US" w:eastAsia="zh-CN" w:bidi="ar"/>
        </w:rPr>
        <w:t>年</w:t>
      </w:r>
      <w:r>
        <w:rPr>
          <w:rFonts w:hint="eastAsia" w:ascii="Times New Roman" w:hAnsi="Times New Roman" w:eastAsia="宋体" w:cs="Times New Roman"/>
          <w:color w:val="000000"/>
          <w:kern w:val="0"/>
          <w:sz w:val="24"/>
          <w:szCs w:val="24"/>
          <w:lang w:val="en-US" w:eastAsia="zh-CN" w:bidi="ar"/>
        </w:rPr>
        <w:t>4</w:t>
      </w:r>
      <w:r>
        <w:rPr>
          <w:rFonts w:hint="default" w:ascii="Times New Roman" w:hAnsi="Times New Roman" w:eastAsia="宋体" w:cs="Times New Roman"/>
          <w:color w:val="000000"/>
          <w:kern w:val="0"/>
          <w:sz w:val="24"/>
          <w:szCs w:val="24"/>
          <w:lang w:val="en-US" w:eastAsia="zh-CN" w:bidi="ar"/>
        </w:rPr>
        <w:t>月，森诺科技有限公司编制完成了本项目环境影响报告表；</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2）2017年5月23日，原高青县环境保护局以“高环审[2017]</w:t>
      </w:r>
      <w:r>
        <w:rPr>
          <w:rFonts w:hint="eastAsia" w:ascii="Times New Roman" w:hAnsi="Times New Roman" w:eastAsia="宋体" w:cs="Times New Roman"/>
          <w:color w:val="000000"/>
          <w:kern w:val="0"/>
          <w:sz w:val="24"/>
          <w:szCs w:val="24"/>
          <w:lang w:val="en-US" w:eastAsia="zh-CN" w:bidi="ar"/>
        </w:rPr>
        <w:t>47</w:t>
      </w:r>
      <w:r>
        <w:rPr>
          <w:rFonts w:hint="default" w:ascii="Times New Roman" w:hAnsi="Times New Roman" w:eastAsia="宋体" w:cs="Times New Roman"/>
          <w:color w:val="000000"/>
          <w:kern w:val="0"/>
          <w:sz w:val="24"/>
          <w:szCs w:val="24"/>
          <w:lang w:val="en-US" w:eastAsia="zh-CN" w:bidi="ar"/>
        </w:rPr>
        <w:t>号”文对该项目环境影响报告表予以批复；</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3）201</w:t>
      </w:r>
      <w:r>
        <w:rPr>
          <w:rFonts w:hint="eastAsia" w:ascii="Times New Roman" w:hAnsi="Times New Roman" w:eastAsia="宋体" w:cs="Times New Roman"/>
          <w:color w:val="000000"/>
          <w:kern w:val="0"/>
          <w:sz w:val="24"/>
          <w:szCs w:val="24"/>
          <w:lang w:val="en-US" w:eastAsia="zh-CN" w:bidi="ar"/>
        </w:rPr>
        <w:t>7</w:t>
      </w:r>
      <w:r>
        <w:rPr>
          <w:rFonts w:hint="default" w:ascii="Times New Roman" w:hAnsi="Times New Roman" w:eastAsia="宋体" w:cs="Times New Roman"/>
          <w:color w:val="000000"/>
          <w:kern w:val="0"/>
          <w:sz w:val="24"/>
          <w:szCs w:val="24"/>
          <w:lang w:val="en-US" w:eastAsia="zh-CN" w:bidi="ar"/>
        </w:rPr>
        <w:t>年</w:t>
      </w:r>
      <w:r>
        <w:rPr>
          <w:rFonts w:hint="eastAsia" w:ascii="Times New Roman" w:hAnsi="Times New Roman" w:eastAsia="宋体" w:cs="Times New Roman"/>
          <w:color w:val="000000"/>
          <w:kern w:val="0"/>
          <w:sz w:val="24"/>
          <w:szCs w:val="24"/>
          <w:lang w:val="en-US" w:eastAsia="zh-CN" w:bidi="ar"/>
        </w:rPr>
        <w:t>6</w:t>
      </w:r>
      <w:r>
        <w:rPr>
          <w:rFonts w:hint="default" w:ascii="Times New Roman" w:hAnsi="Times New Roman" w:eastAsia="宋体" w:cs="Times New Roman"/>
          <w:color w:val="000000"/>
          <w:kern w:val="0"/>
          <w:sz w:val="24"/>
          <w:szCs w:val="24"/>
          <w:lang w:val="en-US" w:eastAsia="zh-CN" w:bidi="ar"/>
        </w:rPr>
        <w:t>月</w:t>
      </w:r>
      <w:r>
        <w:rPr>
          <w:rFonts w:hint="eastAsia" w:ascii="Times New Roman" w:hAnsi="Times New Roman" w:eastAsia="宋体" w:cs="Times New Roman"/>
          <w:color w:val="000000"/>
          <w:kern w:val="0"/>
          <w:sz w:val="24"/>
          <w:szCs w:val="24"/>
          <w:lang w:val="en-US" w:eastAsia="zh-CN" w:bidi="ar"/>
        </w:rPr>
        <w:t>19</w:t>
      </w:r>
      <w:r>
        <w:rPr>
          <w:rFonts w:hint="default" w:ascii="Times New Roman" w:hAnsi="Times New Roman" w:eastAsia="宋体" w:cs="Times New Roman"/>
          <w:color w:val="000000"/>
          <w:kern w:val="0"/>
          <w:sz w:val="24"/>
          <w:szCs w:val="24"/>
          <w:lang w:val="en-US" w:eastAsia="zh-CN" w:bidi="ar"/>
        </w:rPr>
        <w:t>日，本项目开始钻井施工；</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4）201</w:t>
      </w:r>
      <w:r>
        <w:rPr>
          <w:rFonts w:hint="eastAsia" w:ascii="Times New Roman" w:hAnsi="Times New Roman" w:eastAsia="宋体" w:cs="Times New Roman"/>
          <w:color w:val="000000"/>
          <w:kern w:val="0"/>
          <w:sz w:val="24"/>
          <w:szCs w:val="24"/>
          <w:lang w:val="en-US" w:eastAsia="zh-CN" w:bidi="ar"/>
        </w:rPr>
        <w:t>7</w:t>
      </w:r>
      <w:r>
        <w:rPr>
          <w:rFonts w:hint="default" w:ascii="Times New Roman" w:hAnsi="Times New Roman" w:eastAsia="宋体" w:cs="Times New Roman"/>
          <w:color w:val="000000"/>
          <w:kern w:val="0"/>
          <w:sz w:val="24"/>
          <w:szCs w:val="24"/>
          <w:lang w:val="en-US" w:eastAsia="zh-CN" w:bidi="ar"/>
        </w:rPr>
        <w:t>年</w:t>
      </w:r>
      <w:r>
        <w:rPr>
          <w:rFonts w:hint="eastAsia" w:ascii="Times New Roman" w:hAnsi="Times New Roman" w:eastAsia="宋体" w:cs="Times New Roman"/>
          <w:color w:val="000000"/>
          <w:kern w:val="0"/>
          <w:sz w:val="24"/>
          <w:szCs w:val="24"/>
          <w:lang w:val="en-US" w:eastAsia="zh-CN" w:bidi="ar"/>
        </w:rPr>
        <w:t>8</w:t>
      </w:r>
      <w:r>
        <w:rPr>
          <w:rFonts w:hint="default" w:ascii="Times New Roman" w:hAnsi="Times New Roman" w:eastAsia="宋体" w:cs="Times New Roman"/>
          <w:color w:val="000000"/>
          <w:kern w:val="0"/>
          <w:sz w:val="24"/>
          <w:szCs w:val="24"/>
          <w:lang w:val="en-US" w:eastAsia="zh-CN" w:bidi="ar"/>
        </w:rPr>
        <w:t>月</w:t>
      </w:r>
      <w:r>
        <w:rPr>
          <w:rFonts w:hint="eastAsia" w:ascii="Times New Roman" w:hAnsi="Times New Roman" w:eastAsia="宋体" w:cs="Times New Roman"/>
          <w:color w:val="000000"/>
          <w:kern w:val="0"/>
          <w:sz w:val="24"/>
          <w:szCs w:val="24"/>
          <w:lang w:val="en-US" w:eastAsia="zh-CN" w:bidi="ar"/>
        </w:rPr>
        <w:t>18</w:t>
      </w:r>
      <w:r>
        <w:rPr>
          <w:rFonts w:hint="default" w:ascii="Times New Roman" w:hAnsi="Times New Roman" w:eastAsia="宋体" w:cs="Times New Roman"/>
          <w:color w:val="000000"/>
          <w:kern w:val="0"/>
          <w:sz w:val="24"/>
          <w:szCs w:val="24"/>
          <w:lang w:val="en-US" w:eastAsia="zh-CN" w:bidi="ar"/>
        </w:rPr>
        <w:t>日，项目完井作业结束；</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5）2022年9月26日，根据地质勘探情况，经油气勘探管理中心试油管理室研究决定，花古</w:t>
      </w:r>
      <w:r>
        <w:rPr>
          <w:rFonts w:hint="eastAsia" w:ascii="Times New Roman" w:hAnsi="Times New Roman" w:eastAsia="宋体" w:cs="Times New Roman"/>
          <w:color w:val="000000"/>
          <w:kern w:val="0"/>
          <w:sz w:val="24"/>
          <w:szCs w:val="24"/>
          <w:lang w:val="en-US" w:eastAsia="zh-CN" w:bidi="ar"/>
        </w:rPr>
        <w:t>601</w:t>
      </w:r>
      <w:r>
        <w:rPr>
          <w:rFonts w:hint="default" w:ascii="Times New Roman" w:hAnsi="Times New Roman" w:eastAsia="宋体" w:cs="Times New Roman"/>
          <w:color w:val="000000"/>
          <w:kern w:val="0"/>
          <w:sz w:val="24"/>
          <w:szCs w:val="24"/>
          <w:lang w:val="en-US" w:eastAsia="zh-CN" w:bidi="ar"/>
        </w:rPr>
        <w:t>井不需要试油，项目竣工；</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6）202</w:t>
      </w:r>
      <w:r>
        <w:rPr>
          <w:rFonts w:hint="eastAsia" w:ascii="Times New Roman" w:hAnsi="Times New Roman" w:eastAsia="宋体" w:cs="Times New Roman"/>
          <w:color w:val="000000"/>
          <w:kern w:val="0"/>
          <w:sz w:val="24"/>
          <w:szCs w:val="24"/>
          <w:lang w:val="en-US" w:eastAsia="zh-CN" w:bidi="ar"/>
        </w:rPr>
        <w:t>2</w:t>
      </w:r>
      <w:r>
        <w:rPr>
          <w:rFonts w:hint="default" w:ascii="Times New Roman" w:hAnsi="Times New Roman" w:eastAsia="宋体" w:cs="Times New Roman"/>
          <w:color w:val="000000"/>
          <w:kern w:val="0"/>
          <w:sz w:val="24"/>
          <w:szCs w:val="24"/>
          <w:lang w:val="en-US" w:eastAsia="zh-CN" w:bidi="ar"/>
        </w:rPr>
        <w:t>年</w:t>
      </w:r>
      <w:r>
        <w:rPr>
          <w:rFonts w:hint="eastAsia" w:ascii="Times New Roman" w:hAnsi="Times New Roman" w:eastAsia="宋体" w:cs="Times New Roman"/>
          <w:color w:val="000000"/>
          <w:kern w:val="0"/>
          <w:sz w:val="24"/>
          <w:szCs w:val="24"/>
          <w:lang w:val="en-US" w:eastAsia="zh-CN" w:bidi="ar"/>
        </w:rPr>
        <w:t>9</w:t>
      </w:r>
      <w:r>
        <w:rPr>
          <w:rFonts w:hint="default" w:ascii="Times New Roman" w:hAnsi="Times New Roman" w:eastAsia="宋体" w:cs="Times New Roman"/>
          <w:color w:val="000000"/>
          <w:kern w:val="0"/>
          <w:sz w:val="24"/>
          <w:szCs w:val="24"/>
          <w:lang w:val="en-US" w:eastAsia="zh-CN" w:bidi="ar"/>
        </w:rPr>
        <w:t>月2</w:t>
      </w:r>
      <w:r>
        <w:rPr>
          <w:rFonts w:hint="eastAsia" w:ascii="Times New Roman" w:hAnsi="Times New Roman" w:eastAsia="宋体" w:cs="Times New Roman"/>
          <w:color w:val="000000"/>
          <w:kern w:val="0"/>
          <w:sz w:val="24"/>
          <w:szCs w:val="24"/>
          <w:lang w:val="en-US" w:eastAsia="zh-CN" w:bidi="ar"/>
        </w:rPr>
        <w:t>6</w:t>
      </w:r>
      <w:r>
        <w:rPr>
          <w:rFonts w:hint="default" w:ascii="Times New Roman" w:hAnsi="Times New Roman" w:eastAsia="宋体" w:cs="Times New Roman"/>
          <w:color w:val="000000"/>
          <w:kern w:val="0"/>
          <w:sz w:val="24"/>
          <w:szCs w:val="24"/>
          <w:lang w:val="en-US" w:eastAsia="zh-CN" w:bidi="ar"/>
        </w:rPr>
        <w:t>日，中国石油化工股份有限公司胜利油田分公司油气勘探管理中心在中国石化胜利油田网站（http：//slof.sinopec.com/slof/csr/）对该项目竣工日期进行了网上公示，同日开展了自查工作，认为该项目具备开展竣工验收条件，并委托山东</w:t>
      </w:r>
      <w:r>
        <w:rPr>
          <w:rFonts w:hint="eastAsia" w:ascii="Times New Roman" w:hAnsi="Times New Roman" w:eastAsia="宋体" w:cs="Times New Roman"/>
          <w:color w:val="000000"/>
          <w:kern w:val="0"/>
          <w:sz w:val="24"/>
          <w:szCs w:val="24"/>
          <w:lang w:val="en-US" w:eastAsia="zh-CN" w:bidi="ar"/>
        </w:rPr>
        <w:t>实华安全技术有限公司</w:t>
      </w:r>
      <w:r>
        <w:rPr>
          <w:rFonts w:hint="default" w:ascii="Times New Roman" w:hAnsi="Times New Roman" w:eastAsia="宋体" w:cs="Times New Roman"/>
          <w:color w:val="000000"/>
          <w:kern w:val="0"/>
          <w:sz w:val="24"/>
          <w:szCs w:val="24"/>
          <w:lang w:val="en-US" w:eastAsia="zh-CN" w:bidi="ar"/>
        </w:rPr>
        <w:t>开展该项目的竣工环境保护设施验收调查工作；</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7）202</w:t>
      </w:r>
      <w:r>
        <w:rPr>
          <w:rFonts w:hint="eastAsia" w:ascii="Times New Roman" w:hAnsi="Times New Roman" w:eastAsia="宋体" w:cs="Times New Roman"/>
          <w:color w:val="000000"/>
          <w:kern w:val="0"/>
          <w:sz w:val="24"/>
          <w:szCs w:val="24"/>
          <w:lang w:val="en-US" w:eastAsia="zh-CN" w:bidi="ar"/>
        </w:rPr>
        <w:t>2</w:t>
      </w:r>
      <w:r>
        <w:rPr>
          <w:rFonts w:hint="default" w:ascii="Times New Roman" w:hAnsi="Times New Roman" w:eastAsia="宋体" w:cs="Times New Roman"/>
          <w:color w:val="000000"/>
          <w:kern w:val="0"/>
          <w:sz w:val="24"/>
          <w:szCs w:val="24"/>
          <w:lang w:val="en-US" w:eastAsia="zh-CN" w:bidi="ar"/>
        </w:rPr>
        <w:t>年</w:t>
      </w:r>
      <w:r>
        <w:rPr>
          <w:rFonts w:hint="eastAsia" w:ascii="Times New Roman" w:hAnsi="Times New Roman" w:eastAsia="宋体" w:cs="Times New Roman"/>
          <w:color w:val="000000"/>
          <w:kern w:val="0"/>
          <w:sz w:val="24"/>
          <w:szCs w:val="24"/>
          <w:lang w:val="en-US" w:eastAsia="zh-CN" w:bidi="ar"/>
        </w:rPr>
        <w:t>10</w:t>
      </w:r>
      <w:r>
        <w:rPr>
          <w:rFonts w:hint="default" w:ascii="Times New Roman" w:hAnsi="Times New Roman" w:eastAsia="宋体" w:cs="Times New Roman"/>
          <w:color w:val="000000"/>
          <w:kern w:val="0"/>
          <w:sz w:val="24"/>
          <w:szCs w:val="24"/>
          <w:lang w:val="en-US" w:eastAsia="zh-CN" w:bidi="ar"/>
        </w:rPr>
        <w:t>月</w:t>
      </w:r>
      <w:r>
        <w:rPr>
          <w:rFonts w:hint="eastAsia" w:ascii="Times New Roman" w:hAnsi="Times New Roman" w:eastAsia="宋体" w:cs="Times New Roman"/>
          <w:color w:val="000000"/>
          <w:kern w:val="0"/>
          <w:sz w:val="24"/>
          <w:szCs w:val="24"/>
          <w:lang w:val="en-US" w:eastAsia="zh-CN" w:bidi="ar"/>
        </w:rPr>
        <w:t>15日</w:t>
      </w:r>
      <w:r>
        <w:rPr>
          <w:rFonts w:hint="default" w:ascii="Times New Roman" w:hAnsi="Times New Roman" w:eastAsia="宋体"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验收调查组对本项目进行了现场调查工作，并制定了验收监测方案，开展了监测工作。经现场调查临时占地生态已恢复，各类污染物均得到了有效处置，未造成环境污染。</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8）2023年</w:t>
      </w:r>
      <w:r>
        <w:rPr>
          <w:rFonts w:hint="eastAsia" w:ascii="Times New Roman" w:hAnsi="Times New Roman" w:eastAsia="宋体" w:cs="Times New Roman"/>
          <w:color w:val="000000"/>
          <w:kern w:val="0"/>
          <w:sz w:val="24"/>
          <w:szCs w:val="24"/>
          <w:lang w:val="en-US" w:eastAsia="zh-CN" w:bidi="ar"/>
        </w:rPr>
        <w:t>6</w:t>
      </w:r>
      <w:r>
        <w:rPr>
          <w:rFonts w:hint="default" w:ascii="Times New Roman" w:hAnsi="Times New Roman" w:eastAsia="宋体" w:cs="Times New Roman"/>
          <w:color w:val="000000"/>
          <w:kern w:val="0"/>
          <w:sz w:val="24"/>
          <w:szCs w:val="24"/>
          <w:lang w:val="en-US" w:eastAsia="zh-CN" w:bidi="ar"/>
        </w:rPr>
        <w:t>月，我公司完成了本项目竣工环境保护设施验收调查报告表的编制工作；</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cs="Times New Roman"/>
          <w:color w:val="auto"/>
        </w:rPr>
      </w:pPr>
      <w:r>
        <w:rPr>
          <w:rFonts w:hint="default" w:ascii="Times New Roman" w:hAnsi="Times New Roman" w:eastAsia="宋体" w:cs="Times New Roman"/>
          <w:color w:val="000000"/>
          <w:kern w:val="0"/>
          <w:sz w:val="24"/>
          <w:szCs w:val="24"/>
          <w:lang w:val="en-US" w:eastAsia="zh-CN" w:bidi="ar"/>
        </w:rPr>
        <w:t>9）2023年6月2</w:t>
      </w:r>
      <w:r>
        <w:rPr>
          <w:rFonts w:hint="eastAsia" w:ascii="Times New Roman" w:hAnsi="Times New Roman" w:eastAsia="宋体" w:cs="Times New Roman"/>
          <w:color w:val="000000"/>
          <w:kern w:val="0"/>
          <w:sz w:val="24"/>
          <w:szCs w:val="24"/>
          <w:lang w:val="en-US" w:eastAsia="zh-CN" w:bidi="ar"/>
        </w:rPr>
        <w:t>6</w:t>
      </w:r>
      <w:r>
        <w:rPr>
          <w:rFonts w:hint="default" w:ascii="Times New Roman" w:hAnsi="Times New Roman" w:eastAsia="宋体" w:cs="Times New Roman"/>
          <w:color w:val="000000"/>
          <w:kern w:val="0"/>
          <w:sz w:val="24"/>
          <w:szCs w:val="24"/>
          <w:lang w:val="en-US" w:eastAsia="zh-CN" w:bidi="ar"/>
        </w:rPr>
        <w:t>日，召开本项目验收评审会，本次评审会采取线下会议的形式，会上出具了专家意见，本项目通过竣工环境保护设施验收。</w:t>
      </w:r>
    </w:p>
    <w:p>
      <w:pPr>
        <w:autoSpaceDE/>
        <w:autoSpaceDN/>
        <w:adjustRightInd/>
        <w:spacing w:before="0" w:after="0" w:line="360" w:lineRule="auto"/>
        <w:outlineLvl w:val="9"/>
        <w:rPr>
          <w:rFonts w:hint="default" w:ascii="Times New Roman" w:hAnsi="Times New Roman" w:eastAsia="宋体" w:cs="Times New Roman"/>
          <w:b/>
          <w:bCs/>
          <w:kern w:val="0"/>
          <w:sz w:val="28"/>
          <w:szCs w:val="28"/>
          <w:highlight w:val="none"/>
        </w:rPr>
      </w:pPr>
      <w:bookmarkStart w:id="3" w:name="_Toc5407"/>
      <w:bookmarkStart w:id="4" w:name="_Toc4136"/>
      <w:bookmarkStart w:id="5" w:name="_Toc1391"/>
      <w:r>
        <w:rPr>
          <w:rFonts w:hint="default" w:ascii="Times New Roman" w:hAnsi="Times New Roman" w:eastAsia="宋体" w:cs="Times New Roman"/>
          <w:b/>
          <w:bCs/>
          <w:kern w:val="0"/>
          <w:sz w:val="28"/>
          <w:szCs w:val="28"/>
          <w:highlight w:val="none"/>
        </w:rPr>
        <w:t>2 信息公开和公众意见反馈</w:t>
      </w:r>
      <w:bookmarkEnd w:id="3"/>
      <w:bookmarkEnd w:id="4"/>
      <w:bookmarkEnd w:id="5"/>
    </w:p>
    <w:p>
      <w:pPr>
        <w:keepNext w:val="0"/>
        <w:keepLines w:val="0"/>
        <w:widowControl/>
        <w:suppressLineNumbers w:val="0"/>
        <w:adjustRightInd/>
        <w:snapToGrid/>
        <w:spacing w:after="0" w:line="360" w:lineRule="auto"/>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2.1 信息公开</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1）202</w:t>
      </w:r>
      <w:r>
        <w:rPr>
          <w:rFonts w:hint="eastAsia" w:ascii="Times New Roman" w:hAnsi="Times New Roman" w:eastAsia="宋体" w:cs="Times New Roman"/>
          <w:color w:val="000000"/>
          <w:kern w:val="0"/>
          <w:sz w:val="24"/>
          <w:szCs w:val="24"/>
          <w:lang w:val="en-US" w:eastAsia="zh-CN" w:bidi="ar"/>
        </w:rPr>
        <w:t>2</w:t>
      </w:r>
      <w:r>
        <w:rPr>
          <w:rFonts w:hint="default" w:ascii="Times New Roman" w:hAnsi="Times New Roman" w:eastAsia="宋体" w:cs="Times New Roman"/>
          <w:color w:val="000000"/>
          <w:kern w:val="0"/>
          <w:sz w:val="24"/>
          <w:szCs w:val="24"/>
          <w:lang w:val="en-US" w:eastAsia="zh-CN" w:bidi="ar"/>
        </w:rPr>
        <w:t>年</w:t>
      </w:r>
      <w:r>
        <w:rPr>
          <w:rFonts w:hint="eastAsia" w:ascii="Times New Roman" w:hAnsi="Times New Roman" w:eastAsia="宋体" w:cs="Times New Roman"/>
          <w:color w:val="000000"/>
          <w:kern w:val="0"/>
          <w:sz w:val="24"/>
          <w:szCs w:val="24"/>
          <w:lang w:val="en-US" w:eastAsia="zh-CN" w:bidi="ar"/>
        </w:rPr>
        <w:t>9</w:t>
      </w:r>
      <w:r>
        <w:rPr>
          <w:rFonts w:hint="default" w:ascii="Times New Roman" w:hAnsi="Times New Roman" w:eastAsia="宋体" w:cs="Times New Roman"/>
          <w:color w:val="000000"/>
          <w:kern w:val="0"/>
          <w:sz w:val="24"/>
          <w:szCs w:val="24"/>
          <w:lang w:val="en-US" w:eastAsia="zh-CN" w:bidi="ar"/>
        </w:rPr>
        <w:t>月2</w:t>
      </w:r>
      <w:r>
        <w:rPr>
          <w:rFonts w:hint="eastAsia" w:ascii="Times New Roman" w:hAnsi="Times New Roman" w:eastAsia="宋体" w:cs="Times New Roman"/>
          <w:color w:val="000000"/>
          <w:kern w:val="0"/>
          <w:sz w:val="24"/>
          <w:szCs w:val="24"/>
          <w:lang w:val="en-US" w:eastAsia="zh-CN" w:bidi="ar"/>
        </w:rPr>
        <w:t>6</w:t>
      </w:r>
      <w:r>
        <w:rPr>
          <w:rFonts w:hint="default" w:ascii="Times New Roman" w:hAnsi="Times New Roman" w:eastAsia="宋体" w:cs="Times New Roman"/>
          <w:color w:val="000000"/>
          <w:kern w:val="0"/>
          <w:sz w:val="24"/>
          <w:szCs w:val="24"/>
          <w:lang w:val="en-US" w:eastAsia="zh-CN" w:bidi="ar"/>
        </w:rPr>
        <w:t>日，中国石油化工股份有限公司胜利油田分公司油气勘探管理中心在中国石化胜利油田网站（http：//slof.sinopec.com）对该工程的竣工日期进行了网上公示。</w:t>
      </w:r>
    </w:p>
    <w:p>
      <w:pPr>
        <w:keepNext w:val="0"/>
        <w:keepLines w:val="0"/>
        <w:widowControl/>
        <w:suppressLineNumbers w:val="0"/>
        <w:adjustRightInd/>
        <w:snapToGrid/>
        <w:spacing w:after="0" w:line="360" w:lineRule="auto"/>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2.2 公众参与渠道</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根据本项目特点和实际建设情况，建设单位采用电话（</w:t>
      </w:r>
      <w:r>
        <w:rPr>
          <w:rFonts w:hint="default" w:ascii="Times New Roman" w:hAnsi="Times New Roman" w:eastAsia="宋体" w:cs="Times New Roman"/>
          <w:color w:val="000000"/>
          <w:kern w:val="0"/>
          <w:sz w:val="24"/>
          <w:szCs w:val="24"/>
          <w:lang w:val="en-US" w:eastAsia="zh-CN" w:bidi="ar"/>
        </w:rPr>
        <w:t>赵科长，0546-6378052）和网站回复的方式收集公众意见和建议。</w:t>
      </w:r>
    </w:p>
    <w:p>
      <w:pPr>
        <w:keepNext w:val="0"/>
        <w:keepLines w:val="0"/>
        <w:widowControl/>
        <w:suppressLineNumbers w:val="0"/>
        <w:adjustRightInd/>
        <w:snapToGrid/>
        <w:spacing w:after="0" w:line="360" w:lineRule="auto"/>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2.3 公众意见处理</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建设单位承诺会严格记录公众反馈意见或投诉、收到时间、渠道以及反馈或投诉的内容，并及时处理或解决公众意见，给出采纳与否的情况说明。</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本项目建设过程、验收调查期间未收到公众意见或投诉，表明公众支持该项目的建设和运营。</w:t>
      </w:r>
    </w:p>
    <w:p>
      <w:pPr>
        <w:autoSpaceDE/>
        <w:autoSpaceDN/>
        <w:adjustRightInd/>
        <w:spacing w:before="0" w:after="0" w:line="360" w:lineRule="auto"/>
        <w:outlineLvl w:val="9"/>
        <w:rPr>
          <w:rFonts w:hint="default" w:ascii="Times New Roman" w:hAnsi="Times New Roman" w:eastAsia="宋体" w:cs="Times New Roman"/>
          <w:b/>
          <w:bCs/>
          <w:kern w:val="0"/>
          <w:sz w:val="28"/>
          <w:szCs w:val="28"/>
        </w:rPr>
      </w:pPr>
      <w:bookmarkStart w:id="6" w:name="_Toc1519"/>
      <w:bookmarkStart w:id="7" w:name="_Toc31200"/>
      <w:bookmarkStart w:id="8" w:name="_Toc598"/>
      <w:r>
        <w:rPr>
          <w:rFonts w:hint="default" w:ascii="Times New Roman" w:hAnsi="Times New Roman" w:eastAsia="宋体" w:cs="Times New Roman"/>
          <w:b/>
          <w:bCs/>
          <w:kern w:val="0"/>
          <w:sz w:val="28"/>
          <w:szCs w:val="28"/>
        </w:rPr>
        <w:t>3 其他环境措施的落实情况</w:t>
      </w:r>
      <w:bookmarkEnd w:id="6"/>
      <w:bookmarkEnd w:id="7"/>
      <w:bookmarkEnd w:id="8"/>
    </w:p>
    <w:p>
      <w:pPr>
        <w:keepNext w:val="0"/>
        <w:keepLines w:val="0"/>
        <w:widowControl/>
        <w:suppressLineNumbers w:val="0"/>
        <w:adjustRightInd/>
        <w:snapToGrid/>
        <w:spacing w:after="0" w:line="360" w:lineRule="auto"/>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3.1 制度措施落实情况</w:t>
      </w:r>
    </w:p>
    <w:p>
      <w:pPr>
        <w:keepNext w:val="0"/>
        <w:keepLines w:val="0"/>
        <w:widowControl/>
        <w:suppressLineNumbers w:val="0"/>
        <w:adjustRightInd/>
        <w:snapToGrid/>
        <w:spacing w:after="0" w:line="360" w:lineRule="auto"/>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3.1.1 制度措施落实情况</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1）环境保护组织机构</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油气勘探管理中心有专职人员负责安全环保工作。为了贯彻执行各项环保法规，落实可行性研究报告、环境影响报告表及批复中的环保措施，结合该项目的运营实际情况，油气勘探管理中心建立健全了一系列QHSE管理制度。从现场调查的情况看，工作纪律都比较严明，工作人员持证上岗，制定了巡检制度，有专人对各设备的工作状态进行检查。</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2）环保设施运行调查，维护情况</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油气勘探管理中心制定了各类设备操作规程、设备运转记录、保养记录。操作人员根据各项制度进行设备检修和保养，通过巡查等方式及时发现该项目设施运行中出现的问题，通过公司领导由生产调度会安排解决问题，并严格督察解决的结果，以确保环保设施的正常运行。</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3.1.2 环境风险防范措施</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为了提高对重大事故和险情的应急救援处理能力，确保事故发生时，采取有效措施避免或减少环境污染。本项目针对钻井过程存在的各种风险事故，在工艺设计、设备选型、施工监督管理等各环节都采取了大量行之有效的风险防范措施，并制定了应急预案，配备了控制污染的应急设备，保证其随时处于可以使用的状态，同时对员工进行了应急培训，定期组织演练，并根据实际演练结果进行完善。</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从现场调查的情况看，项目钻井过程中未发生过对周围环境影响较大的井喷等风险事故，说明建设单位采取的环境风险防范措施是较为有效的。</w:t>
      </w:r>
    </w:p>
    <w:p>
      <w:pPr>
        <w:keepNext w:val="0"/>
        <w:keepLines w:val="0"/>
        <w:widowControl/>
        <w:suppressLineNumbers w:val="0"/>
        <w:adjustRightInd/>
        <w:snapToGrid/>
        <w:spacing w:after="0" w:line="360" w:lineRule="auto"/>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3.1.2 生态环境监测和调查计划</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kern w:val="0"/>
          <w:sz w:val="24"/>
        </w:rPr>
      </w:pPr>
      <w:r>
        <w:rPr>
          <w:rFonts w:hint="default" w:ascii="Times New Roman" w:hAnsi="Times New Roman" w:eastAsia="宋体" w:cs="Times New Roman"/>
          <w:color w:val="000000"/>
          <w:kern w:val="0"/>
          <w:sz w:val="24"/>
          <w:szCs w:val="24"/>
          <w:lang w:val="en-US" w:eastAsia="zh-CN" w:bidi="ar"/>
        </w:rPr>
        <w:t>根据本项目特点和实际建设情况，不需要开展生态环境监测，且该项目环境影响报告表及其审批部门审批决定中未要求制定生态环境监测和调查计划。</w:t>
      </w:r>
    </w:p>
    <w:p>
      <w:pPr>
        <w:keepNext w:val="0"/>
        <w:keepLines w:val="0"/>
        <w:widowControl/>
        <w:suppressLineNumbers w:val="0"/>
        <w:adjustRightInd/>
        <w:snapToGrid/>
        <w:spacing w:after="0" w:line="360" w:lineRule="auto"/>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3.2 环境保护措施落实情况</w:t>
      </w:r>
    </w:p>
    <w:p>
      <w:pPr>
        <w:keepNext w:val="0"/>
        <w:keepLines w:val="0"/>
        <w:widowControl/>
        <w:suppressLineNumbers w:val="0"/>
        <w:adjustRightInd/>
        <w:snapToGrid/>
        <w:spacing w:after="0" w:line="360" w:lineRule="auto"/>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3.2.1 施工期环境保护措施</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1）</w:t>
      </w:r>
      <w:r>
        <w:rPr>
          <w:rFonts w:hint="default" w:ascii="Times New Roman" w:hAnsi="Times New Roman" w:eastAsia="宋体" w:cs="Times New Roman"/>
          <w:color w:val="000000"/>
          <w:kern w:val="0"/>
          <w:sz w:val="24"/>
          <w:szCs w:val="24"/>
          <w:lang w:val="en-US" w:eastAsia="zh-CN" w:bidi="ar"/>
        </w:rPr>
        <w:t>生态环境保护措施和对策</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划定了钻井井场范围，四周设置围挡，井队环保专员严格按照井队环境保护管理制度对井场内运行车辆和人员进行统一管理，严格执行了规定范围内作业，没有对井场外植被造成破坏及土地占有。井场工程区施工前剥离了表土，集中堆放于井场工程区的施工场地内，并采取了防尘网遮盖等临时防护措施。井场地面和工艺装置区地面施工完成后采用了机械碾压，减少水土流失。</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2）</w:t>
      </w:r>
      <w:r>
        <w:rPr>
          <w:rFonts w:hint="default" w:ascii="Times New Roman" w:hAnsi="Times New Roman" w:eastAsia="宋体" w:cs="Times New Roman"/>
          <w:color w:val="000000"/>
          <w:kern w:val="0"/>
          <w:sz w:val="24"/>
          <w:szCs w:val="24"/>
          <w:lang w:val="en-US" w:eastAsia="zh-CN" w:bidi="ar"/>
        </w:rPr>
        <w:t>大气环境保护措施和对策</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（1）加强了施工管理； </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（2）施工单位制定了合理化管理制度，采取了控制施工作业面积、洒水降尘、遮盖土堆和建筑材料、施工现场设置围挡、大风天停止作业等措施；</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（3）所使用的机械设备性能良好，施工过程中未发生机械故障； </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（4）采用了高品质的柴油，有效降低了柴油燃烧废气中污染物的排放量。</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3）</w:t>
      </w:r>
      <w:r>
        <w:rPr>
          <w:rFonts w:hint="default" w:ascii="Times New Roman" w:hAnsi="Times New Roman" w:eastAsia="宋体" w:cs="Times New Roman"/>
          <w:color w:val="000000"/>
          <w:kern w:val="0"/>
          <w:sz w:val="24"/>
          <w:szCs w:val="24"/>
          <w:lang w:val="en-US" w:eastAsia="zh-CN" w:bidi="ar"/>
        </w:rPr>
        <w:t>水环境保护措施和对策</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经现场调查，本项目钻井废水上清液拉运至纯梁首站废液处理站处理，而后进入纯梁首站污水处理系统进行处理，处理达标后用于油田注水开发，不外排；生活污水排至移动厕所，由当地农民定期清掏，用作农肥。</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4）</w:t>
      </w:r>
      <w:r>
        <w:rPr>
          <w:rFonts w:hint="default" w:ascii="Times New Roman" w:hAnsi="Times New Roman" w:eastAsia="宋体" w:cs="Times New Roman"/>
          <w:color w:val="000000"/>
          <w:kern w:val="0"/>
          <w:sz w:val="24"/>
          <w:szCs w:val="24"/>
          <w:lang w:val="en-US" w:eastAsia="zh-CN" w:bidi="ar"/>
        </w:rPr>
        <w:t>声环境保护措施和对策</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钻井期噪声源主要是钻机、柴油发电机、泥浆泵、施工机械及运输车辆产生噪声等，由于钻井期较短，施工噪声随钻井、封井结束即可消失</w:t>
      </w:r>
      <w:r>
        <w:rPr>
          <w:rFonts w:hint="eastAsia" w:ascii="Times New Roman" w:hAnsi="Times New Roman" w:eastAsia="宋体"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对周边环境影响较轻。</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5）</w:t>
      </w:r>
      <w:r>
        <w:rPr>
          <w:rFonts w:hint="default" w:ascii="Times New Roman" w:hAnsi="Times New Roman" w:eastAsia="宋体" w:cs="Times New Roman"/>
          <w:color w:val="000000"/>
          <w:kern w:val="0"/>
          <w:sz w:val="24"/>
          <w:szCs w:val="24"/>
          <w:lang w:val="en-US" w:eastAsia="zh-CN" w:bidi="ar"/>
        </w:rPr>
        <w:t>固体废物处置措施</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本项目钻井固废暂存在井场内的泥浆循环池，池内铺设防渗膜，渗透系数≤10</w:t>
      </w:r>
      <w:r>
        <w:rPr>
          <w:rFonts w:hint="default" w:ascii="Times New Roman" w:hAnsi="Times New Roman" w:eastAsia="宋体" w:cs="Times New Roman"/>
          <w:color w:val="000000"/>
          <w:kern w:val="0"/>
          <w:sz w:val="24"/>
          <w:szCs w:val="24"/>
          <w:vertAlign w:val="superscript"/>
          <w:lang w:val="en-US" w:eastAsia="zh-CN" w:bidi="ar"/>
        </w:rPr>
        <w:t>-7</w:t>
      </w:r>
      <w:r>
        <w:rPr>
          <w:rFonts w:hint="default" w:ascii="Times New Roman" w:hAnsi="Times New Roman" w:eastAsia="宋体" w:cs="Times New Roman"/>
          <w:color w:val="000000"/>
          <w:kern w:val="0"/>
          <w:sz w:val="24"/>
          <w:szCs w:val="24"/>
          <w:lang w:val="en-US" w:eastAsia="zh-CN" w:bidi="ar"/>
        </w:rPr>
        <w:t>cm/s，完钻后由胜利油田众安石油装备有限责任公司采用“就地固化”工艺处理。本项目生活垃圾集中收集，暂存在施工场地临时设立的垃圾桶内，由施工单位拉运至生活垃圾中转站后，由当地环卫部门统一处理。本项目施工期固体废弃物均得到了有效处置。</w:t>
      </w:r>
    </w:p>
    <w:p>
      <w:pPr>
        <w:keepNext w:val="0"/>
        <w:keepLines w:val="0"/>
        <w:widowControl/>
        <w:suppressLineNumbers w:val="0"/>
        <w:adjustRightInd/>
        <w:snapToGrid/>
        <w:spacing w:after="0" w:line="360" w:lineRule="auto"/>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3.2.2 保障环境保护设施有效运行的措施</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加强设备维护、保养并做维修记录，严格执行井场管理制度。</w:t>
      </w:r>
    </w:p>
    <w:p>
      <w:pPr>
        <w:keepNext w:val="0"/>
        <w:keepLines w:val="0"/>
        <w:widowControl/>
        <w:suppressLineNumbers w:val="0"/>
        <w:adjustRightInd/>
        <w:snapToGrid/>
        <w:spacing w:after="0" w:line="360" w:lineRule="auto"/>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3.2.3 生态系统功能恢复措施</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施工结束后对临时占地进行了恢复</w:t>
      </w:r>
      <w:r>
        <w:rPr>
          <w:rFonts w:hint="default" w:ascii="Times New Roman" w:hAnsi="Times New Roman" w:eastAsia="宋体" w:cs="Times New Roman"/>
          <w:color w:val="000000"/>
          <w:kern w:val="0"/>
          <w:sz w:val="24"/>
          <w:szCs w:val="24"/>
          <w:lang w:val="en-GB" w:eastAsia="zh-CN" w:bidi="ar"/>
        </w:rPr>
        <w:t>。</w:t>
      </w:r>
    </w:p>
    <w:p>
      <w:pPr>
        <w:keepNext w:val="0"/>
        <w:keepLines w:val="0"/>
        <w:widowControl/>
        <w:suppressLineNumbers w:val="0"/>
        <w:adjustRightInd/>
        <w:snapToGrid/>
        <w:spacing w:after="0" w:line="360" w:lineRule="auto"/>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3.2.4 生物多样性保护措施</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1）严格控制施工临时占地，减少对地表植被的破坏；</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2）加快施工进度，缩短施工期，以减轻施工活动对区域野生动植物的影响。</w:t>
      </w:r>
    </w:p>
    <w:p>
      <w:pPr>
        <w:keepNext w:val="0"/>
        <w:keepLines w:val="0"/>
        <w:widowControl/>
        <w:suppressLineNumbers w:val="0"/>
        <w:adjustRightInd/>
        <w:snapToGrid/>
        <w:spacing w:after="0" w:line="360" w:lineRule="auto"/>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3.3 配套措施落实情况</w:t>
      </w:r>
    </w:p>
    <w:p>
      <w:pPr>
        <w:keepNext w:val="0"/>
        <w:keepLines w:val="0"/>
        <w:widowControl/>
        <w:suppressLineNumbers w:val="0"/>
        <w:adjustRightInd/>
        <w:snapToGrid/>
        <w:spacing w:after="0" w:line="360" w:lineRule="auto"/>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3.3.1 区域消减及淘汰落后产能</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本项目不涉及。</w:t>
      </w:r>
    </w:p>
    <w:p>
      <w:pPr>
        <w:keepNext w:val="0"/>
        <w:keepLines w:val="0"/>
        <w:widowControl/>
        <w:suppressLineNumbers w:val="0"/>
        <w:adjustRightInd/>
        <w:snapToGrid/>
        <w:spacing w:after="0" w:line="360" w:lineRule="auto"/>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3.3.2 防护距离控制及居民搬迁</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本项目不涉及。</w:t>
      </w:r>
    </w:p>
    <w:p>
      <w:pPr>
        <w:keepNext w:val="0"/>
        <w:keepLines w:val="0"/>
        <w:widowControl/>
        <w:suppressLineNumbers w:val="0"/>
        <w:adjustRightInd/>
        <w:snapToGrid/>
        <w:spacing w:after="0" w:line="360" w:lineRule="auto"/>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3.3.3 其他措施</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本项目不涉及区域环境整治、相关外围工程建设等措施。</w:t>
      </w:r>
    </w:p>
    <w:p>
      <w:pPr>
        <w:pStyle w:val="28"/>
        <w:spacing w:before="0" w:after="0" w:line="240" w:lineRule="auto"/>
        <w:rPr>
          <w:rFonts w:hint="default" w:ascii="Times New Roman" w:hAnsi="Times New Roman" w:eastAsia="宋体" w:cs="Times New Roman"/>
          <w:b/>
          <w:bCs/>
          <w:kern w:val="0"/>
          <w:sz w:val="28"/>
          <w:szCs w:val="28"/>
        </w:rPr>
      </w:pPr>
      <w:bookmarkStart w:id="9" w:name="_Toc18486"/>
      <w:bookmarkStart w:id="10" w:name="_Toc19241"/>
      <w:bookmarkStart w:id="11" w:name="_Toc20044"/>
      <w:r>
        <w:rPr>
          <w:rFonts w:hint="default" w:ascii="Times New Roman" w:hAnsi="Times New Roman" w:eastAsia="宋体" w:cs="Times New Roman"/>
          <w:b/>
          <w:bCs/>
          <w:kern w:val="0"/>
          <w:sz w:val="28"/>
          <w:szCs w:val="28"/>
        </w:rPr>
        <w:t>4 整改工作情况</w:t>
      </w:r>
      <w:bookmarkEnd w:id="9"/>
      <w:bookmarkEnd w:id="10"/>
      <w:bookmarkEnd w:id="11"/>
    </w:p>
    <w:p>
      <w:pPr>
        <w:keepNext w:val="0"/>
        <w:keepLines w:val="0"/>
        <w:widowControl/>
        <w:suppressLineNumbers w:val="0"/>
        <w:adjustRightInd/>
        <w:snapToGrid/>
        <w:spacing w:after="0" w:line="360" w:lineRule="auto"/>
        <w:ind w:firstLine="480" w:firstLineChars="200"/>
        <w:jc w:val="left"/>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整改意见：1、完善生态保护措施的调查。</w:t>
      </w:r>
    </w:p>
    <w:p>
      <w:pPr>
        <w:keepNext w:val="0"/>
        <w:keepLines w:val="0"/>
        <w:widowControl/>
        <w:suppressLineNumbers w:val="0"/>
        <w:adjustRightInd/>
        <w:snapToGrid/>
        <w:spacing w:after="0" w:line="360" w:lineRule="auto"/>
        <w:ind w:firstLine="480" w:firstLineChars="200"/>
        <w:jc w:val="left"/>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整改说明：报告补充完善了生态保护措施调查内容，见报告表4中生态保护工程和设施实施运行效果调查章节。</w:t>
      </w:r>
    </w:p>
    <w:p>
      <w:pPr>
        <w:keepNext w:val="0"/>
        <w:keepLines w:val="0"/>
        <w:widowControl/>
        <w:suppressLineNumbers w:val="0"/>
        <w:adjustRightInd/>
        <w:snapToGrid/>
        <w:spacing w:after="0" w:line="360" w:lineRule="auto"/>
        <w:ind w:firstLine="480" w:firstLineChars="200"/>
        <w:jc w:val="left"/>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整改意见：2、补充封井工艺流程介绍。</w:t>
      </w:r>
    </w:p>
    <w:p>
      <w:pPr>
        <w:keepNext w:val="0"/>
        <w:keepLines w:val="0"/>
        <w:widowControl/>
        <w:suppressLineNumbers w:val="0"/>
        <w:adjustRightInd/>
        <w:snapToGrid/>
        <w:spacing w:after="0" w:line="360" w:lineRule="auto"/>
        <w:ind w:firstLine="480" w:firstLineChars="200"/>
        <w:jc w:val="left"/>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整改说明：报告补充了封井工艺流程介绍内容，见报告表2中主要工艺流程章节。</w:t>
      </w:r>
    </w:p>
    <w:p>
      <w:pPr>
        <w:keepNext w:val="0"/>
        <w:keepLines w:val="0"/>
        <w:widowControl/>
        <w:suppressLineNumbers w:val="0"/>
        <w:adjustRightInd/>
        <w:snapToGrid/>
        <w:spacing w:after="0" w:line="360" w:lineRule="auto"/>
        <w:ind w:firstLine="480" w:firstLineChars="200"/>
        <w:jc w:val="left"/>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整改意见：3、明确工程内容与环评的变动情况，总结项目重大变动情况。</w:t>
      </w:r>
    </w:p>
    <w:p>
      <w:pPr>
        <w:keepNext w:val="0"/>
        <w:keepLines w:val="0"/>
        <w:widowControl/>
        <w:suppressLineNumbers w:val="0"/>
        <w:adjustRightInd/>
        <w:snapToGrid/>
        <w:spacing w:after="0" w:line="360" w:lineRule="auto"/>
        <w:ind w:firstLine="480" w:firstLineChars="200"/>
        <w:jc w:val="left"/>
        <w:rPr>
          <w:rFonts w:hint="eastAsia" w:ascii="仿宋" w:hAnsi="仿宋" w:eastAsia="仿宋" w:cs="仿宋"/>
          <w:b/>
          <w:color w:val="000000"/>
          <w:sz w:val="28"/>
          <w:szCs w:val="28"/>
        </w:rPr>
      </w:pPr>
      <w:r>
        <w:rPr>
          <w:rFonts w:hint="eastAsia" w:ascii="Times New Roman" w:hAnsi="Times New Roman" w:eastAsia="宋体" w:cs="Times New Roman"/>
          <w:color w:val="000000"/>
          <w:kern w:val="0"/>
          <w:sz w:val="24"/>
          <w:szCs w:val="24"/>
          <w:lang w:val="en-US" w:eastAsia="zh-CN" w:bidi="ar"/>
        </w:rPr>
        <w:t>整改说明：报告</w:t>
      </w:r>
      <w:bookmarkStart w:id="12" w:name="_GoBack"/>
      <w:bookmarkEnd w:id="12"/>
      <w:r>
        <w:rPr>
          <w:rFonts w:hint="eastAsia" w:ascii="Times New Roman" w:hAnsi="Times New Roman" w:eastAsia="宋体" w:cs="Times New Roman"/>
          <w:color w:val="000000"/>
          <w:kern w:val="0"/>
          <w:sz w:val="24"/>
          <w:szCs w:val="24"/>
          <w:lang w:val="en-US" w:eastAsia="zh-CN" w:bidi="ar"/>
        </w:rPr>
        <w:t>补充了封井工艺流程介绍内容，见报告表2中主要工艺流程章节。</w:t>
      </w:r>
    </w:p>
    <w:p>
      <w:pPr>
        <w:pStyle w:val="28"/>
        <w:spacing w:before="0" w:after="0" w:line="240" w:lineRule="auto"/>
        <w:rPr>
          <w:rFonts w:hint="default" w:ascii="Times New Roman" w:hAnsi="Times New Roman" w:eastAsia="宋体" w:cs="Times New Roman"/>
          <w:b/>
          <w:bCs/>
          <w:kern w:val="0"/>
          <w:sz w:val="28"/>
          <w:szCs w:val="28"/>
        </w:rPr>
      </w:pPr>
    </w:p>
    <w:sectPr>
      <w:footerReference r:id="rId5" w:type="default"/>
      <w:pgSz w:w="11906" w:h="16838"/>
      <w:pgMar w:top="1440" w:right="1800" w:bottom="1440" w:left="1800" w:header="708" w:footer="708"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39548E"/>
    <w:multiLevelType w:val="multilevel"/>
    <w:tmpl w:val="5839548E"/>
    <w:lvl w:ilvl="0" w:tentative="0">
      <w:start w:val="1"/>
      <w:numFmt w:val="decimal"/>
      <w:suff w:val="space"/>
      <w:lvlText w:val="%1"/>
      <w:lvlJc w:val="left"/>
      <w:pPr>
        <w:ind w:left="0"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pStyle w:val="3"/>
      <w:suff w:val="space"/>
      <w:lvlText w:val="%1.%2.%3"/>
      <w:lvlJc w:val="left"/>
      <w:pPr>
        <w:ind w:left="3261" w:firstLine="0"/>
      </w:pPr>
      <w:rPr>
        <w:rFonts w:hint="eastAsia"/>
      </w:rPr>
    </w:lvl>
    <w:lvl w:ilvl="3" w:tentative="0">
      <w:start w:val="1"/>
      <w:numFmt w:val="decimal"/>
      <w:pStyle w:val="5"/>
      <w:suff w:val="space"/>
      <w:lvlText w:val="%1.%2.%3.%4"/>
      <w:lvlJc w:val="left"/>
      <w:pPr>
        <w:ind w:left="840" w:firstLine="0"/>
      </w:pPr>
      <w:rPr>
        <w:rFonts w:hint="eastAsia"/>
      </w:rPr>
    </w:lvl>
    <w:lvl w:ilvl="4" w:tentative="0">
      <w:start w:val="1"/>
      <w:numFmt w:val="decimal"/>
      <w:lvlText w:val="（%5）"/>
      <w:lvlJc w:val="left"/>
      <w:pPr>
        <w:ind w:left="1647" w:hanging="1080"/>
      </w:pPr>
      <w:rPr>
        <w:rFonts w:hint="default"/>
      </w:rPr>
    </w:lvl>
    <w:lvl w:ilvl="5" w:tentative="0">
      <w:start w:val="1"/>
      <w:numFmt w:val="decimal"/>
      <w:suff w:val="nothing"/>
      <w:lvlText w:val="（%6）"/>
      <w:lvlJc w:val="left"/>
      <w:pPr>
        <w:ind w:left="0" w:firstLine="420"/>
      </w:pPr>
      <w:rPr>
        <w:rFonts w:hint="eastAsia"/>
      </w:rPr>
    </w:lvl>
    <w:lvl w:ilvl="6" w:tentative="0">
      <w:start w:val="1"/>
      <w:numFmt w:val="decimalEnclosedCircle"/>
      <w:suff w:val="nothing"/>
      <w:lvlText w:val="%7"/>
      <w:lvlJc w:val="left"/>
      <w:pPr>
        <w:ind w:left="0" w:firstLine="400"/>
      </w:pPr>
      <w:rPr>
        <w:rFonts w:hint="eastAsia"/>
        <w:b w:val="0"/>
        <w:bCs w:val="0"/>
        <w:i w:val="0"/>
        <w:iCs w:val="0"/>
        <w:caps w:val="0"/>
        <w:smallCaps w:val="0"/>
        <w:strike w:val="0"/>
        <w:dstrike w:val="0"/>
        <w:color w:val="000000"/>
        <w:spacing w:val="0"/>
        <w:position w:val="0"/>
        <w:u w:val="none"/>
      </w:rPr>
    </w:lvl>
    <w:lvl w:ilvl="7" w:tentative="0">
      <w:start w:val="1"/>
      <w:numFmt w:val="lowerLetter"/>
      <w:suff w:val="nothing"/>
      <w:lvlText w:val="%8."/>
      <w:lvlJc w:val="left"/>
      <w:pPr>
        <w:ind w:left="0" w:firstLine="400"/>
      </w:pPr>
      <w:rPr>
        <w:rFonts w:hint="eastAsia"/>
      </w:rPr>
    </w:lvl>
    <w:lvl w:ilvl="8" w:tentative="0">
      <w:start w:val="1"/>
      <w:numFmt w:val="lowerRoman"/>
      <w:suff w:val="nothing"/>
      <w:lvlText w:val="%9."/>
      <w:lvlJc w:val="left"/>
      <w:pPr>
        <w:ind w:left="0" w:firstLine="4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MTZmN2E5MjNjMmNhNDFmYjVkMTkwZWE4M2QzMjQifQ=="/>
  </w:docVars>
  <w:rsids>
    <w:rsidRoot w:val="00D31D50"/>
    <w:rsid w:val="000800E3"/>
    <w:rsid w:val="000D531C"/>
    <w:rsid w:val="00217F45"/>
    <w:rsid w:val="0022627E"/>
    <w:rsid w:val="002F4F6B"/>
    <w:rsid w:val="00323B43"/>
    <w:rsid w:val="003D37D8"/>
    <w:rsid w:val="00423294"/>
    <w:rsid w:val="00426133"/>
    <w:rsid w:val="004358AB"/>
    <w:rsid w:val="008B7726"/>
    <w:rsid w:val="00D31D50"/>
    <w:rsid w:val="00EF6CAB"/>
    <w:rsid w:val="01A416BA"/>
    <w:rsid w:val="04E47868"/>
    <w:rsid w:val="13E57646"/>
    <w:rsid w:val="176F72BB"/>
    <w:rsid w:val="1E8F4FAF"/>
    <w:rsid w:val="24DF2114"/>
    <w:rsid w:val="2C6A4775"/>
    <w:rsid w:val="347F27BE"/>
    <w:rsid w:val="39467F8F"/>
    <w:rsid w:val="3C2E32C9"/>
    <w:rsid w:val="4571738E"/>
    <w:rsid w:val="47E80303"/>
    <w:rsid w:val="495150DB"/>
    <w:rsid w:val="4B0435C5"/>
    <w:rsid w:val="4E055BEC"/>
    <w:rsid w:val="5313260E"/>
    <w:rsid w:val="5DE62F1A"/>
    <w:rsid w:val="63C225FA"/>
    <w:rsid w:val="65DF3FAF"/>
    <w:rsid w:val="66735B4E"/>
    <w:rsid w:val="72F0605A"/>
    <w:rsid w:val="77733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next w:val="1"/>
    <w:qFormat/>
    <w:uiPriority w:val="0"/>
    <w:pPr>
      <w:keepNext/>
      <w:keepLines/>
      <w:adjustRightInd w:val="0"/>
      <w:snapToGrid w:val="0"/>
      <w:spacing w:before="0" w:after="200" w:line="240" w:lineRule="auto"/>
      <w:ind w:firstLine="0" w:firstLineChars="0"/>
      <w:jc w:val="left"/>
      <w:outlineLvl w:val="0"/>
    </w:pPr>
    <w:rPr>
      <w:rFonts w:ascii="Tahoma" w:hAnsi="Tahoma" w:eastAsia="微软雅黑" w:cs="Times New Roman"/>
      <w:b/>
      <w:kern w:val="44"/>
      <w:sz w:val="28"/>
      <w:szCs w:val="22"/>
      <w:lang w:val="en-US" w:eastAsia="zh-CN" w:bidi="ar-SA"/>
    </w:rPr>
  </w:style>
  <w:style w:type="paragraph" w:styleId="3">
    <w:name w:val="heading 3"/>
    <w:next w:val="4"/>
    <w:unhideWhenUsed/>
    <w:qFormat/>
    <w:uiPriority w:val="0"/>
    <w:pPr>
      <w:keepNext/>
      <w:widowControl w:val="0"/>
      <w:numPr>
        <w:ilvl w:val="2"/>
        <w:numId w:val="1"/>
      </w:numPr>
      <w:adjustRightInd w:val="0"/>
      <w:snapToGrid w:val="0"/>
      <w:spacing w:before="100" w:beforeAutospacing="1" w:line="360" w:lineRule="auto"/>
      <w:outlineLvl w:val="2"/>
    </w:pPr>
    <w:rPr>
      <w:rFonts w:ascii="黑体" w:hAnsi="Times New Roman" w:eastAsia="黑体" w:cs="Times New Roman"/>
      <w:bCs/>
      <w:kern w:val="2"/>
      <w:sz w:val="24"/>
      <w:szCs w:val="32"/>
      <w:lang w:val="en-US" w:eastAsia="zh-CN" w:bidi="ar-SA"/>
    </w:rPr>
  </w:style>
  <w:style w:type="paragraph" w:styleId="5">
    <w:name w:val="heading 4"/>
    <w:basedOn w:val="1"/>
    <w:next w:val="1"/>
    <w:unhideWhenUsed/>
    <w:qFormat/>
    <w:uiPriority w:val="0"/>
    <w:pPr>
      <w:keepNext/>
      <w:widowControl w:val="0"/>
      <w:numPr>
        <w:ilvl w:val="3"/>
        <w:numId w:val="1"/>
      </w:numPr>
      <w:adjustRightInd w:val="0"/>
      <w:snapToGrid w:val="0"/>
      <w:spacing w:before="100" w:beforeAutospacing="1" w:line="360" w:lineRule="auto"/>
      <w:outlineLvl w:val="3"/>
    </w:pPr>
    <w:rPr>
      <w:rFonts w:ascii="宋体" w:hAnsi="Cambria" w:eastAsia="宋体" w:cs="黑体"/>
      <w:b/>
      <w:bCs/>
      <w:kern w:val="2"/>
      <w:sz w:val="24"/>
      <w:szCs w:val="28"/>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4">
    <w:name w:val="SSEC 正文"/>
    <w:link w:val="20"/>
    <w:qFormat/>
    <w:uiPriority w:val="0"/>
    <w:pPr>
      <w:widowControl w:val="0"/>
      <w:adjustRightInd w:val="0"/>
      <w:snapToGrid w:val="0"/>
      <w:spacing w:after="0" w:line="331" w:lineRule="auto"/>
      <w:ind w:firstLine="200" w:firstLineChars="200"/>
      <w:jc w:val="both"/>
    </w:pPr>
    <w:rPr>
      <w:rFonts w:ascii="宋体" w:hAnsi="宋体" w:cs="Times New Roman" w:eastAsiaTheme="minorEastAsia"/>
      <w:kern w:val="2"/>
      <w:sz w:val="24"/>
      <w:szCs w:val="24"/>
      <w:lang w:val="en-US" w:eastAsia="zh-CN" w:bidi="ar-SA"/>
    </w:rPr>
  </w:style>
  <w:style w:type="paragraph" w:styleId="6">
    <w:name w:val="Document Map"/>
    <w:basedOn w:val="1"/>
    <w:link w:val="23"/>
    <w:semiHidden/>
    <w:unhideWhenUsed/>
    <w:qFormat/>
    <w:uiPriority w:val="99"/>
    <w:rPr>
      <w:rFonts w:ascii="宋体" w:eastAsia="宋体"/>
      <w:sz w:val="18"/>
      <w:szCs w:val="18"/>
    </w:rPr>
  </w:style>
  <w:style w:type="paragraph" w:styleId="7">
    <w:name w:val="Body Text"/>
    <w:basedOn w:val="1"/>
    <w:unhideWhenUsed/>
    <w:qFormat/>
    <w:uiPriority w:val="0"/>
    <w:pPr>
      <w:spacing w:after="120"/>
    </w:pPr>
  </w:style>
  <w:style w:type="paragraph" w:styleId="8">
    <w:name w:val="Body Text Indent"/>
    <w:basedOn w:val="1"/>
    <w:next w:val="9"/>
    <w:qFormat/>
    <w:uiPriority w:val="0"/>
    <w:pPr>
      <w:spacing w:line="360" w:lineRule="auto"/>
      <w:ind w:firstLine="480" w:firstLineChars="200"/>
    </w:pPr>
    <w:rPr>
      <w:rFonts w:eastAsia="仿宋_GB2312"/>
      <w:color w:val="0000FF"/>
      <w:sz w:val="24"/>
      <w:szCs w:val="20"/>
    </w:rPr>
  </w:style>
  <w:style w:type="paragraph" w:customStyle="1" w:styleId="9">
    <w:name w:val="样式 正文文本缩进 + 行距: 1.5 倍行距"/>
    <w:basedOn w:val="1"/>
    <w:qFormat/>
    <w:uiPriority w:val="0"/>
    <w:pPr>
      <w:spacing w:after="120"/>
      <w:ind w:left="90" w:leftChars="32" w:firstLine="560"/>
    </w:pPr>
    <w:rPr>
      <w:rFonts w:cs="宋体"/>
    </w:rPr>
  </w:style>
  <w:style w:type="paragraph" w:styleId="10">
    <w:name w:val="footer"/>
    <w:basedOn w:val="1"/>
    <w:link w:val="19"/>
    <w:semiHidden/>
    <w:unhideWhenUsed/>
    <w:qFormat/>
    <w:uiPriority w:val="99"/>
    <w:pPr>
      <w:tabs>
        <w:tab w:val="center" w:pos="4153"/>
        <w:tab w:val="right" w:pos="8306"/>
      </w:tabs>
    </w:pPr>
    <w:rPr>
      <w:sz w:val="18"/>
      <w:szCs w:val="18"/>
    </w:rPr>
  </w:style>
  <w:style w:type="paragraph" w:styleId="11">
    <w:name w:val="header"/>
    <w:basedOn w:val="1"/>
    <w:link w:val="18"/>
    <w:semiHidden/>
    <w:unhideWhenUsed/>
    <w:qFormat/>
    <w:uiPriority w:val="99"/>
    <w:pPr>
      <w:pBdr>
        <w:bottom w:val="single" w:color="auto" w:sz="6" w:space="1"/>
      </w:pBdr>
      <w:tabs>
        <w:tab w:val="center" w:pos="4153"/>
        <w:tab w:val="right" w:pos="8306"/>
      </w:tabs>
      <w:jc w:val="center"/>
    </w:pPr>
    <w:rPr>
      <w:sz w:val="18"/>
      <w:szCs w:val="18"/>
    </w:rPr>
  </w:style>
  <w:style w:type="paragraph" w:styleId="12">
    <w:name w:val="Body Text First Indent 2"/>
    <w:basedOn w:val="8"/>
    <w:next w:val="13"/>
    <w:semiHidden/>
    <w:unhideWhenUsed/>
    <w:qFormat/>
    <w:uiPriority w:val="0"/>
    <w:pPr>
      <w:spacing w:after="120" w:line="240" w:lineRule="auto"/>
      <w:ind w:left="420" w:leftChars="200" w:firstLine="420"/>
    </w:pPr>
    <w:rPr>
      <w:rFonts w:eastAsia="宋体"/>
      <w:color w:val="auto"/>
      <w:sz w:val="21"/>
      <w:szCs w:val="21"/>
    </w:rPr>
  </w:style>
  <w:style w:type="paragraph" w:customStyle="1" w:styleId="13">
    <w:name w:val="正文格式"/>
    <w:basedOn w:val="1"/>
    <w:qFormat/>
    <w:uiPriority w:val="0"/>
    <w:pPr>
      <w:spacing w:line="360" w:lineRule="auto"/>
      <w:ind w:firstLine="482"/>
    </w:pPr>
    <w:rPr>
      <w:rFonts w:ascii="宋体" w:hAnsi="宋体" w:cs="Times New Roman"/>
      <w:sz w:val="24"/>
      <w:szCs w:val="24"/>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样式 标题 1一级标题 + 段前: 0.5 行 段后: 0.5 行"/>
    <w:qFormat/>
    <w:uiPriority w:val="99"/>
    <w:pPr>
      <w:keepNext/>
      <w:keepLines/>
      <w:adjustRightInd w:val="0"/>
      <w:snapToGrid w:val="0"/>
      <w:spacing w:before="0" w:after="200" w:line="320" w:lineRule="exact"/>
      <w:ind w:firstLine="0" w:firstLineChars="0"/>
      <w:jc w:val="center"/>
      <w:outlineLvl w:val="9"/>
    </w:pPr>
    <w:rPr>
      <w:rFonts w:ascii="Tahoma" w:hAnsi="Tahoma" w:eastAsia="微软雅黑" w:cs="Times New Roman"/>
      <w:b/>
      <w:spacing w:val="-6"/>
      <w:kern w:val="0"/>
      <w:sz w:val="21"/>
      <w:szCs w:val="21"/>
      <w:lang w:val="en-US" w:eastAsia="zh-CN" w:bidi="ar-SA"/>
    </w:rPr>
  </w:style>
  <w:style w:type="character" w:customStyle="1" w:styleId="18">
    <w:name w:val="页眉 Char"/>
    <w:basedOn w:val="16"/>
    <w:link w:val="11"/>
    <w:semiHidden/>
    <w:qFormat/>
    <w:uiPriority w:val="99"/>
    <w:rPr>
      <w:rFonts w:ascii="Tahoma" w:hAnsi="Tahoma"/>
      <w:sz w:val="18"/>
      <w:szCs w:val="18"/>
    </w:rPr>
  </w:style>
  <w:style w:type="character" w:customStyle="1" w:styleId="19">
    <w:name w:val="页脚 Char"/>
    <w:basedOn w:val="16"/>
    <w:link w:val="10"/>
    <w:semiHidden/>
    <w:qFormat/>
    <w:uiPriority w:val="99"/>
    <w:rPr>
      <w:rFonts w:ascii="Tahoma" w:hAnsi="Tahoma"/>
      <w:sz w:val="18"/>
      <w:szCs w:val="18"/>
    </w:rPr>
  </w:style>
  <w:style w:type="character" w:customStyle="1" w:styleId="20">
    <w:name w:val="SSEC 正文 字符"/>
    <w:basedOn w:val="16"/>
    <w:link w:val="4"/>
    <w:qFormat/>
    <w:uiPriority w:val="0"/>
    <w:rPr>
      <w:rFonts w:ascii="宋体" w:hAnsi="宋体" w:cs="Times New Roman" w:eastAsiaTheme="minorEastAsia"/>
      <w:kern w:val="2"/>
      <w:sz w:val="24"/>
      <w:szCs w:val="24"/>
    </w:rPr>
  </w:style>
  <w:style w:type="paragraph" w:customStyle="1" w:styleId="21">
    <w:name w:val="lm正文"/>
    <w:basedOn w:val="1"/>
    <w:link w:val="22"/>
    <w:qFormat/>
    <w:uiPriority w:val="0"/>
    <w:pPr>
      <w:widowControl w:val="0"/>
      <w:spacing w:after="0" w:line="331" w:lineRule="auto"/>
      <w:ind w:firstLine="480" w:firstLineChars="200"/>
      <w:jc w:val="both"/>
    </w:pPr>
    <w:rPr>
      <w:rFonts w:ascii="宋体" w:hAnsi="宋体" w:cs="Times New Roman" w:eastAsiaTheme="minorEastAsia"/>
      <w:sz w:val="24"/>
      <w:szCs w:val="20"/>
      <w:lang w:val="zh-CN"/>
    </w:rPr>
  </w:style>
  <w:style w:type="character" w:customStyle="1" w:styleId="22">
    <w:name w:val="lm正文 Char"/>
    <w:link w:val="21"/>
    <w:qFormat/>
    <w:uiPriority w:val="0"/>
    <w:rPr>
      <w:rFonts w:ascii="宋体" w:hAnsi="宋体" w:cs="Times New Roman" w:eastAsiaTheme="minorEastAsia"/>
      <w:sz w:val="24"/>
      <w:szCs w:val="20"/>
      <w:lang w:val="zh-CN"/>
    </w:rPr>
  </w:style>
  <w:style w:type="character" w:customStyle="1" w:styleId="23">
    <w:name w:val="文档结构图 Char"/>
    <w:basedOn w:val="16"/>
    <w:link w:val="6"/>
    <w:semiHidden/>
    <w:qFormat/>
    <w:uiPriority w:val="99"/>
    <w:rPr>
      <w:rFonts w:ascii="宋体" w:hAnsi="Tahoma" w:eastAsia="宋体"/>
      <w:sz w:val="18"/>
      <w:szCs w:val="18"/>
    </w:rPr>
  </w:style>
  <w:style w:type="paragraph" w:customStyle="1" w:styleId="24">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
    <w:name w:val="SSEC正文 20150323"/>
    <w:qFormat/>
    <w:uiPriority w:val="0"/>
    <w:pPr>
      <w:adjustRightInd w:val="0"/>
      <w:snapToGrid w:val="0"/>
      <w:spacing w:line="331" w:lineRule="auto"/>
      <w:ind w:firstLine="200" w:firstLineChars="200"/>
      <w:jc w:val="both"/>
    </w:pPr>
    <w:rPr>
      <w:rFonts w:ascii="宋体" w:hAnsi="宋体" w:eastAsiaTheme="minorEastAsia" w:cstheme="minorBidi"/>
      <w:kern w:val="2"/>
      <w:sz w:val="24"/>
      <w:szCs w:val="24"/>
      <w:lang w:val="en-US" w:eastAsia="zh-CN" w:bidi="ar-SA"/>
    </w:rPr>
  </w:style>
  <w:style w:type="paragraph" w:customStyle="1" w:styleId="26">
    <w:name w:val="STC 正文"/>
    <w:qFormat/>
    <w:uiPriority w:val="0"/>
    <w:pPr>
      <w:widowControl w:val="0"/>
      <w:adjustRightInd w:val="0"/>
      <w:snapToGrid w:val="0"/>
      <w:spacing w:line="331" w:lineRule="auto"/>
      <w:ind w:firstLine="200" w:firstLineChars="200"/>
      <w:jc w:val="both"/>
    </w:pPr>
    <w:rPr>
      <w:rFonts w:ascii="宋体" w:hAnsi="宋体" w:eastAsia="宋体" w:cstheme="minorBidi"/>
      <w:kern w:val="2"/>
      <w:sz w:val="24"/>
      <w:szCs w:val="21"/>
      <w:lang w:val="en-US" w:eastAsia="zh-CN" w:bidi="ar-SA"/>
    </w:rPr>
  </w:style>
  <w:style w:type="paragraph" w:customStyle="1" w:styleId="27">
    <w:name w:val="表格小四缩进"/>
    <w:basedOn w:val="1"/>
    <w:qFormat/>
    <w:uiPriority w:val="0"/>
    <w:pPr>
      <w:spacing w:line="360" w:lineRule="auto"/>
      <w:ind w:firstLine="480" w:firstLineChars="200"/>
      <w:jc w:val="both"/>
    </w:pPr>
    <w:rPr>
      <w:rFonts w:ascii="Times New Roman" w:hAnsi="Times New Roman" w:eastAsia="宋体"/>
    </w:rPr>
  </w:style>
  <w:style w:type="paragraph" w:customStyle="1" w:styleId="28">
    <w:name w:val="00 正文"/>
    <w:qFormat/>
    <w:uiPriority w:val="0"/>
    <w:pPr>
      <w:tabs>
        <w:tab w:val="left" w:pos="540"/>
      </w:tabs>
      <w:spacing w:before="120" w:after="120" w:line="500" w:lineRule="exact"/>
      <w:jc w:val="both"/>
    </w:pPr>
    <w:rPr>
      <w:rFonts w:ascii="Calibri" w:hAnsi="Calibri" w:cs="Times New Roman" w:eastAsiaTheme="minorEastAsia"/>
      <w:color w:val="000000"/>
      <w:spacing w:val="-2"/>
      <w:sz w:val="24"/>
      <w:szCs w:val="24"/>
      <w:lang w:val="zh-CN" w:eastAsia="zh-CN" w:bidi="ar-SA"/>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3" Type="http://schemas.openxmlformats.org/officeDocument/2006/relationships/footnotes" Target="footnotes.xml"/><Relationship Id="rId7" Type="http://schemas.openxmlformats.org/officeDocument/2006/relationships/customXml" Target="../customXml/item1.xml"/><Relationship Id="rId12" Type="http://schemas.openxmlformats.org/officeDocument/2006/relationships/customXml" Target="../customXml/item4.xml"/><Relationship Id="rId2" Type="http://schemas.openxmlformats.org/officeDocument/2006/relationships/settings" Target="settings.xml"/><Relationship Id="rId6" Type="http://schemas.openxmlformats.org/officeDocument/2006/relationships/theme" Target="theme/theme1.xml"/><Relationship Id="rId1" Type="http://schemas.openxmlformats.org/officeDocument/2006/relationships/styles" Target="styles.xml"/><Relationship Id="rId11" Type="http://schemas.openxmlformats.org/officeDocument/2006/relationships/customXml" Target="../customXml/item3.xml"/><Relationship Id="rId5" Type="http://schemas.openxmlformats.org/officeDocument/2006/relationships/footer" Target="footer1.xml"/><Relationship Id="rId10" Type="http://schemas.openxmlformats.org/officeDocument/2006/relationships/customXml" Target="../customXml/item2.xml"/><Relationship Id="rId9" Type="http://schemas.openxmlformats.org/officeDocument/2006/relationships/fontTable" Target="fontTable.xml"/><Relationship Id="rId4"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313989E510CC474A862876A387D6F14A" ma:contentTypeVersion="1" ma:contentTypeDescription="新建文档。" ma:contentTypeScope="" ma:versionID="9481bbee652bab56d8878f23ff1a8b39">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9DC39E1B-55A4-407D-8420-1CEDD45C824D}"/>
</file>

<file path=customXml/itemProps3.xml><?xml version="1.0" encoding="utf-8"?>
<ds:datastoreItem xmlns:ds="http://schemas.openxmlformats.org/officeDocument/2006/customXml" ds:itemID="{BCFA5373-FFA2-4D90-A1B9-EAD499A350F6}"/>
</file>

<file path=customXml/itemProps4.xml><?xml version="1.0" encoding="utf-8"?>
<ds:datastoreItem xmlns:ds="http://schemas.openxmlformats.org/officeDocument/2006/customXml" ds:itemID="{52965DC9-43C3-4AED-B8AC-DD593D1BA4BD}"/>
</file>

<file path=docProps/app.xml><?xml version="1.0" encoding="utf-8"?>
<Properties xmlns="http://schemas.openxmlformats.org/officeDocument/2006/extended-properties" xmlns:vt="http://schemas.openxmlformats.org/officeDocument/2006/docPropsVTypes">
  <Template>Normal</Template>
  <Pages>6</Pages>
  <Words>3649</Words>
  <Characters>3817</Characters>
  <Lines>32</Lines>
  <Paragraphs>9</Paragraphs>
  <TotalTime>0</TotalTime>
  <ScaleCrop>false</ScaleCrop>
  <LinksUpToDate>false</LinksUpToDate>
  <CharactersWithSpaces>3856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冥王星</cp:lastModifiedBy>
  <cp:revision>3</cp:revision>
  <cp:lastPrinted>2021-01-31T09:00:00Z</cp:lastPrinted>
  <dcterms:created xsi:type="dcterms:W3CDTF">2008-09-11T17:20:00Z</dcterms:created>
  <dcterms:modified xsi:type="dcterms:W3CDTF">2023-08-02T04:06:23Z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DFB50487826E42BA9E2A3042AB609E35_13</vt:lpwstr>
  </property>
  <property fmtid="{D5CDD505-2E9C-101B-9397-08002B2CF9AE}" pid="4" name="ContentTypeId">
    <vt:lpwstr>0x010100313989E510CC474A862876A387D6F14A</vt:lpwstr>
  </property>
</Properties>
</file>