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ind w:left="0" w:leftChars="0" w:firstLine="0" w:firstLineChars="0"/>
        <w:jc w:val="center"/>
        <w:textAlignment w:val="auto"/>
        <w:rPr>
          <w:rFonts w:hint="eastAsia" w:ascii="黑体" w:eastAsia="黑体" w:cs="黑体"/>
          <w:color w:val="000000"/>
          <w:sz w:val="32"/>
          <w:szCs w:val="32"/>
        </w:rPr>
      </w:pPr>
      <w:r>
        <w:rPr>
          <w:rFonts w:hint="eastAsia" w:ascii="黑体" w:eastAsia="黑体" w:cs="黑体"/>
          <w:color w:val="000000"/>
          <w:sz w:val="32"/>
          <w:szCs w:val="32"/>
          <w:lang w:eastAsia="zh-CN"/>
        </w:rPr>
        <w:t>渤南油田义11-54等井区零散调整工程</w:t>
      </w:r>
      <w:r>
        <w:rPr>
          <w:rFonts w:hint="eastAsia" w:ascii="黑体" w:eastAsia="黑体" w:cs="黑体"/>
          <w:color w:val="000000"/>
          <w:sz w:val="32"/>
          <w:szCs w:val="32"/>
        </w:rPr>
        <w:t>其他需要</w:t>
      </w: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黑体" w:eastAsia="黑体" w:cs="黑体"/>
          <w:color w:val="000000"/>
          <w:sz w:val="32"/>
          <w:szCs w:val="32"/>
        </w:rPr>
      </w:pPr>
      <w:r>
        <w:rPr>
          <w:rFonts w:hint="eastAsia" w:ascii="黑体" w:eastAsia="黑体" w:cs="黑体"/>
          <w:color w:val="000000"/>
          <w:sz w:val="32"/>
          <w:szCs w:val="32"/>
        </w:rPr>
        <w:t>说明的事项</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textAlignment w:val="auto"/>
        <w:outlineLvl w:val="0"/>
        <w:rPr>
          <w:rFonts w:ascii="黑体" w:hAnsi="黑体" w:eastAsia="黑体" w:cs="黑体"/>
          <w:color w:val="000000"/>
          <w:sz w:val="28"/>
          <w:szCs w:val="28"/>
        </w:rPr>
      </w:pPr>
      <w:r>
        <w:rPr>
          <w:rFonts w:hint="eastAsia" w:ascii="黑体" w:hAnsi="黑体" w:eastAsia="黑体" w:cs="TimesNewRomanPSMT"/>
          <w:color w:val="000000"/>
          <w:sz w:val="28"/>
          <w:szCs w:val="28"/>
        </w:rPr>
        <w:t>1</w:t>
      </w:r>
      <w:r>
        <w:rPr>
          <w:rFonts w:ascii="黑体" w:hAnsi="黑体" w:eastAsia="黑体" w:cs="TimesNewRomanPSMT"/>
          <w:color w:val="000000"/>
          <w:sz w:val="28"/>
          <w:szCs w:val="28"/>
        </w:rPr>
        <w:t xml:space="preserve"> </w:t>
      </w:r>
      <w:r>
        <w:rPr>
          <w:rFonts w:hint="eastAsia" w:ascii="黑体" w:hAnsi="黑体" w:eastAsia="黑体" w:cs="黑体"/>
          <w:color w:val="000000"/>
          <w:sz w:val="28"/>
          <w:szCs w:val="28"/>
        </w:rPr>
        <w:t>环境保护设施设计、施工和验收过程简况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黑体"/>
          <w:color w:val="000000"/>
          <w:sz w:val="24"/>
          <w:szCs w:val="24"/>
        </w:rPr>
      </w:pPr>
      <w:r>
        <w:rPr>
          <w:rFonts w:ascii="黑体" w:hAnsi="黑体" w:eastAsia="黑体" w:cs="TimesNewRomanPSMT"/>
          <w:color w:val="000000"/>
          <w:sz w:val="24"/>
          <w:szCs w:val="24"/>
        </w:rPr>
        <w:t xml:space="preserve">1.1 </w:t>
      </w:r>
      <w:r>
        <w:rPr>
          <w:rFonts w:hint="eastAsia" w:ascii="黑体" w:hAnsi="黑体" w:eastAsia="黑体" w:cs="黑体"/>
          <w:color w:val="000000"/>
          <w:sz w:val="24"/>
          <w:szCs w:val="24"/>
        </w:rPr>
        <w:t>设计简况</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lang w:val="en-US" w:eastAsia="zh-CN"/>
        </w:rPr>
      </w:pPr>
      <w:r>
        <w:rPr>
          <w:rFonts w:hint="default" w:ascii="宋体" w:hAnsi="宋体" w:cs="Times New Roman"/>
          <w:color w:val="000000"/>
          <w:lang w:val="en-US" w:eastAsia="zh-CN"/>
        </w:rPr>
        <w:t>为推动河口采油厂渤南油田滚动开发，开发渤南油田局部剩余油，提高储</w:t>
      </w:r>
      <w:r>
        <w:rPr>
          <w:rFonts w:hint="default" w:ascii="Times New Roman" w:hAnsi="Times New Roman" w:cs="Times New Roman"/>
          <w:color w:val="000000"/>
          <w:lang w:val="en-US" w:eastAsia="zh-CN"/>
        </w:rPr>
        <w:t>量控制及动用程度，改善开发效果，提高采收率，河口采油厂拟实施渤南油田义11-54等井区零散调整工程，主要</w:t>
      </w:r>
      <w:r>
        <w:rPr>
          <w:rFonts w:hint="eastAsia" w:ascii="Times New Roman" w:hAnsi="Times New Roman" w:cs="Times New Roman"/>
          <w:color w:val="000000"/>
          <w:lang w:val="en-US" w:eastAsia="zh-CN"/>
        </w:rPr>
        <w:t>建设内容为新钻3口油井，侧钻1口注水井</w:t>
      </w:r>
      <w:r>
        <w:rPr>
          <w:rFonts w:hint="default" w:ascii="Times New Roman" w:hAnsi="Times New Roman" w:cs="Times New Roman"/>
          <w:color w:val="000000"/>
          <w:lang w:val="en-US" w:eastAsia="zh-CN"/>
        </w:rPr>
        <w:t>。根据项目拟建内容，在初步设计和环境保护篇章中提出了</w:t>
      </w:r>
      <w:r>
        <w:rPr>
          <w:rFonts w:hint="eastAsia" w:ascii="Times New Roman" w:hAnsi="Times New Roman" w:cs="Times New Roman"/>
          <w:color w:val="000000"/>
          <w:lang w:val="en-US" w:eastAsia="zh-CN"/>
        </w:rPr>
        <w:t>采油井口均</w:t>
      </w:r>
      <w:r>
        <w:rPr>
          <w:rFonts w:hint="default" w:ascii="Times New Roman" w:hAnsi="Times New Roman" w:cs="Times New Roman"/>
          <w:color w:val="000000"/>
          <w:lang w:val="en-US" w:eastAsia="zh-CN"/>
        </w:rPr>
        <w:t>安装油套连通套</w:t>
      </w:r>
      <w:r>
        <w:rPr>
          <w:rFonts w:hint="eastAsia" w:ascii="宋体" w:hAnsi="宋体" w:cs="Times New Roman"/>
          <w:color w:val="000000"/>
          <w:lang w:val="en-US" w:eastAsia="zh-CN"/>
        </w:rPr>
        <w:t>管气回收装置等环保措施，符合《中华人民共和国环境保护法》中“第四十一条 建设项目中防治污染的设施，应当与主体工程同时设计”的要求</w:t>
      </w:r>
      <w:r>
        <w:rPr>
          <w:rFonts w:hint="default" w:ascii="宋体" w:hAnsi="宋体" w:cs="Times New Roman"/>
          <w:color w:val="000000"/>
          <w:lang w:val="en-US" w:eastAsia="zh-CN"/>
        </w:rPr>
        <w:t>。</w:t>
      </w:r>
      <w:r>
        <w:rPr>
          <w:rFonts w:hint="eastAsia" w:ascii="宋体" w:hAnsi="宋体" w:cs="Times New Roman"/>
          <w:color w:val="000000"/>
          <w:lang w:val="en-US" w:eastAsia="zh-CN"/>
        </w:rPr>
        <w:t>在环境保护篇章中，对施工期和运营期的环境影响、污染防治及生态环境保护措施进行了分析及论证，并对环保投资进行了估算，纳入工程总投资</w:t>
      </w:r>
      <w:r>
        <w:rPr>
          <w:rFonts w:hint="default" w:ascii="宋体" w:hAnsi="宋体" w:cs="Times New Roman"/>
          <w:color w:val="000000"/>
          <w:lang w:val="en-US" w:eastAsia="zh-CN"/>
        </w:rPr>
        <w:t>，</w:t>
      </w:r>
      <w:r>
        <w:rPr>
          <w:rFonts w:hint="eastAsia" w:ascii="宋体" w:hAnsi="宋体" w:cs="Times New Roman"/>
          <w:color w:val="000000"/>
          <w:lang w:val="en-US" w:eastAsia="zh-CN"/>
        </w:rPr>
        <w:t>其中</w:t>
      </w:r>
      <w:r>
        <w:rPr>
          <w:rFonts w:hint="default" w:ascii="宋体" w:hAnsi="宋体" w:cs="Times New Roman"/>
          <w:color w:val="000000"/>
          <w:lang w:val="en-US" w:eastAsia="zh-CN"/>
        </w:rPr>
        <w:t>环境保护投资</w:t>
      </w:r>
      <w:r>
        <w:rPr>
          <w:rFonts w:hint="eastAsia" w:ascii="宋体" w:hAnsi="宋体" w:cs="Times New Roman"/>
          <w:color w:val="000000"/>
          <w:lang w:val="en-US" w:eastAsia="zh-CN"/>
        </w:rPr>
        <w:t>概算</w:t>
      </w:r>
      <w:r>
        <w:rPr>
          <w:rFonts w:hint="default" w:ascii="宋体" w:hAnsi="宋体" w:cs="Times New Roman"/>
          <w:color w:val="000000"/>
          <w:lang w:val="en-US" w:eastAsia="zh-CN"/>
        </w:rPr>
        <w:t>为</w:t>
      </w:r>
      <w:r>
        <w:rPr>
          <w:rFonts w:hint="eastAsia" w:ascii="Times New Roman" w:hAnsi="Times New Roman" w:cs="Times New Roman"/>
          <w:color w:val="000000"/>
          <w:lang w:val="en-US" w:eastAsia="zh-CN"/>
        </w:rPr>
        <w:t>94.6</w:t>
      </w:r>
      <w:r>
        <w:rPr>
          <w:rFonts w:hint="default" w:ascii="Times New Roman" w:hAnsi="Times New Roman" w:cs="Times New Roman"/>
          <w:color w:val="000000"/>
          <w:lang w:val="en-US" w:eastAsia="zh-CN"/>
        </w:rPr>
        <w:t>万元，总投资概算为</w:t>
      </w:r>
      <w:r>
        <w:rPr>
          <w:rFonts w:hint="eastAsia" w:ascii="Times New Roman" w:hAnsi="Times New Roman" w:cs="Times New Roman"/>
          <w:color w:val="000000"/>
          <w:lang w:val="en-US" w:eastAsia="zh-CN"/>
        </w:rPr>
        <w:t>3540</w:t>
      </w:r>
      <w:r>
        <w:rPr>
          <w:rFonts w:hint="eastAsia" w:ascii="宋体" w:hAnsi="宋体" w:cs="Times New Roman"/>
          <w:color w:val="000000"/>
          <w:lang w:val="en-US" w:eastAsia="zh-CN"/>
        </w:rPr>
        <w:t>万元，占比</w:t>
      </w:r>
      <w:r>
        <w:rPr>
          <w:rFonts w:hint="default" w:ascii="Times New Roman" w:hAnsi="Times New Roman" w:cs="Times New Roman"/>
          <w:color w:val="000000"/>
          <w:lang w:val="en-US" w:eastAsia="zh-CN"/>
        </w:rPr>
        <w:t>为</w:t>
      </w:r>
      <w:r>
        <w:rPr>
          <w:rFonts w:hint="eastAsia" w:ascii="Times New Roman" w:hAnsi="Times New Roman" w:cs="Times New Roman"/>
          <w:color w:val="000000"/>
          <w:lang w:val="en-US" w:eastAsia="zh-CN"/>
        </w:rPr>
        <w:t>2.67</w:t>
      </w:r>
      <w:r>
        <w:rPr>
          <w:rFonts w:hint="default" w:ascii="Times New Roman" w:hAnsi="Times New Roman" w:cs="Times New Roman"/>
          <w:color w:val="000000"/>
          <w:lang w:val="en-US" w:eastAsia="zh-CN"/>
        </w:rPr>
        <w:t>%，为各项污染防治及生态环境保护措施的落实保证了资金需</w:t>
      </w:r>
      <w:r>
        <w:rPr>
          <w:rFonts w:hint="eastAsia" w:ascii="Times New Roman" w:hAnsi="Times New Roman" w:cs="Times New Roman"/>
          <w:color w:val="000000"/>
          <w:lang w:val="en-US" w:eastAsia="zh-CN"/>
        </w:rPr>
        <w:t>要</w:t>
      </w:r>
      <w:r>
        <w:rPr>
          <w:rFonts w:hint="default" w:ascii="Times New Roman" w:hAnsi="Times New Roman" w:cs="Times New Roman"/>
          <w:color w:val="000000"/>
          <w:lang w:val="en-US" w:eastAsia="zh-CN"/>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rPr>
      </w:pPr>
      <w:r>
        <w:rPr>
          <w:rFonts w:ascii="黑体" w:hAnsi="黑体" w:eastAsia="黑体" w:cs="TimesNewRomanPSMT"/>
          <w:color w:val="000000"/>
          <w:sz w:val="24"/>
          <w:szCs w:val="24"/>
        </w:rPr>
        <w:t xml:space="preserve">1.2 </w:t>
      </w:r>
      <w:r>
        <w:rPr>
          <w:rFonts w:hint="eastAsia" w:ascii="黑体" w:hAnsi="黑体" w:eastAsia="黑体" w:cs="TimesNewRomanPSMT"/>
          <w:color w:val="000000"/>
          <w:sz w:val="24"/>
          <w:szCs w:val="24"/>
        </w:rPr>
        <w:t>施工简况</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rPr>
      </w:pPr>
      <w:r>
        <w:rPr>
          <w:rFonts w:hint="eastAsia"/>
          <w:color w:val="000000"/>
        </w:rPr>
        <w:t>建设单位</w:t>
      </w:r>
      <w:r>
        <w:rPr>
          <w:rFonts w:hint="eastAsia"/>
          <w:color w:val="000000"/>
          <w:lang w:val="en-US" w:eastAsia="zh-CN"/>
        </w:rPr>
        <w:t>与</w:t>
      </w:r>
      <w:r>
        <w:rPr>
          <w:color w:val="000000"/>
        </w:rPr>
        <w:t>施工单位</w:t>
      </w:r>
      <w:r>
        <w:rPr>
          <w:rFonts w:hint="eastAsia"/>
          <w:color w:val="000000"/>
          <w:lang w:val="en-US" w:eastAsia="zh-CN"/>
        </w:rPr>
        <w:t>根据相关环境保护法律法规的要求，签订了施工合同，在施工合同中对</w:t>
      </w:r>
      <w:r>
        <w:rPr>
          <w:rFonts w:hint="eastAsia"/>
          <w:color w:val="000000"/>
        </w:rPr>
        <w:t>环境影响报告</w:t>
      </w:r>
      <w:r>
        <w:rPr>
          <w:rFonts w:hint="eastAsia"/>
          <w:color w:val="000000"/>
          <w:lang w:val="en-US" w:eastAsia="zh-CN"/>
        </w:rPr>
        <w:t>表</w:t>
      </w:r>
      <w:r>
        <w:rPr>
          <w:rFonts w:hint="eastAsia"/>
          <w:color w:val="000000"/>
        </w:rPr>
        <w:t>及其审批意见中提出的</w:t>
      </w:r>
      <w:r>
        <w:rPr>
          <w:color w:val="000000"/>
        </w:rPr>
        <w:t>生态</w:t>
      </w:r>
      <w:r>
        <w:rPr>
          <w:rFonts w:hint="eastAsia"/>
          <w:color w:val="000000"/>
          <w:lang w:val="en-US" w:eastAsia="zh-CN"/>
        </w:rPr>
        <w:t>环境</w:t>
      </w:r>
      <w:r>
        <w:rPr>
          <w:color w:val="000000"/>
        </w:rPr>
        <w:t>保护</w:t>
      </w:r>
      <w:r>
        <w:rPr>
          <w:rFonts w:hint="eastAsia"/>
          <w:color w:val="000000"/>
          <w:lang w:val="en-US" w:eastAsia="zh-CN"/>
        </w:rPr>
        <w:t>措施</w:t>
      </w:r>
      <w:r>
        <w:rPr>
          <w:rFonts w:hint="eastAsia"/>
          <w:color w:val="000000"/>
        </w:rPr>
        <w:t>和</w:t>
      </w:r>
      <w:r>
        <w:rPr>
          <w:color w:val="000000"/>
        </w:rPr>
        <w:t>污染防治措施</w:t>
      </w:r>
      <w:r>
        <w:rPr>
          <w:rFonts w:hint="eastAsia"/>
          <w:color w:val="000000"/>
          <w:lang w:val="en-US" w:eastAsia="zh-CN"/>
        </w:rPr>
        <w:t>提出了明确要求。在施工过程中，建设单位严格按照施工合同的要求，保障了环境保护设施的资金需要；施工单位</w:t>
      </w:r>
      <w:r>
        <w:rPr>
          <w:color w:val="000000"/>
        </w:rPr>
        <w:t>严格按照合同中</w:t>
      </w:r>
      <w:r>
        <w:rPr>
          <w:rFonts w:hint="eastAsia"/>
          <w:color w:val="000000"/>
          <w:lang w:val="en-US" w:eastAsia="zh-CN"/>
        </w:rPr>
        <w:t>的</w:t>
      </w:r>
      <w:r>
        <w:rPr>
          <w:color w:val="000000"/>
        </w:rPr>
        <w:t>要求，</w:t>
      </w:r>
      <w:r>
        <w:rPr>
          <w:rFonts w:hint="eastAsia"/>
          <w:color w:val="000000"/>
          <w:lang w:val="en-US" w:eastAsia="zh-CN"/>
        </w:rPr>
        <w:t>保障了环境保护设施的施工进度，符合《中华人民共和国环境保护法》中“第四十一条 建设项目中防治污染的设施，应当与主体工程同时施工”的要求</w:t>
      </w:r>
      <w:r>
        <w:rPr>
          <w:rFonts w:hint="eastAsia"/>
          <w:color w:val="000000"/>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rPr>
      </w:pPr>
      <w:r>
        <w:rPr>
          <w:rFonts w:ascii="黑体" w:hAnsi="黑体" w:eastAsia="黑体" w:cs="TimesNewRomanPSMT"/>
          <w:color w:val="000000"/>
          <w:sz w:val="24"/>
          <w:szCs w:val="24"/>
        </w:rPr>
        <w:t xml:space="preserve">1.3 </w:t>
      </w:r>
      <w:r>
        <w:rPr>
          <w:rFonts w:hint="eastAsia" w:ascii="黑体" w:hAnsi="黑体" w:eastAsia="黑体" w:cs="TimesNewRomanPSMT"/>
          <w:color w:val="000000"/>
          <w:sz w:val="24"/>
          <w:szCs w:val="24"/>
        </w:rPr>
        <w:t>验收过程简况</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1）2022年</w:t>
      </w:r>
      <w:r>
        <w:rPr>
          <w:rFonts w:hint="eastAsia" w:ascii="Times New Roman" w:hAnsi="Times New Roman" w:cs="Times New Roman"/>
          <w:color w:val="000000"/>
          <w:lang w:val="en-US" w:eastAsia="zh-CN"/>
        </w:rPr>
        <w:t>7</w:t>
      </w:r>
      <w:r>
        <w:rPr>
          <w:rFonts w:hint="default" w:ascii="Times New Roman" w:hAnsi="Times New Roman" w:cs="Times New Roman"/>
          <w:color w:val="000000"/>
          <w:lang w:val="en-US" w:eastAsia="zh-CN"/>
        </w:rPr>
        <w:t>月</w:t>
      </w:r>
      <w:r>
        <w:rPr>
          <w:rFonts w:hint="eastAsia" w:ascii="Times New Roman" w:hAnsi="Times New Roman" w:cs="Times New Roman"/>
          <w:color w:val="000000"/>
          <w:lang w:val="en-US" w:eastAsia="zh-CN"/>
        </w:rPr>
        <w:t>20</w:t>
      </w:r>
      <w:r>
        <w:rPr>
          <w:rFonts w:hint="default" w:ascii="Times New Roman" w:hAnsi="Times New Roman" w:cs="Times New Roman"/>
          <w:color w:val="000000"/>
          <w:lang w:val="en-US" w:eastAsia="zh-CN"/>
        </w:rPr>
        <w:t>日，项目竣工；</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lang w:val="en-US" w:eastAsia="zh-CN"/>
        </w:rPr>
      </w:pPr>
      <w:r>
        <w:rPr>
          <w:rFonts w:hint="default" w:ascii="Times New Roman" w:hAnsi="Times New Roman" w:cs="Times New Roman"/>
          <w:color w:val="000000"/>
          <w:lang w:val="en-US" w:eastAsia="zh-CN"/>
        </w:rPr>
        <w:t>2）202</w:t>
      </w: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年</w:t>
      </w:r>
      <w:r>
        <w:rPr>
          <w:rFonts w:hint="eastAsia" w:ascii="Times New Roman" w:hAnsi="Times New Roman" w:cs="Times New Roman"/>
          <w:color w:val="000000"/>
          <w:lang w:val="en-US" w:eastAsia="zh-CN"/>
        </w:rPr>
        <w:t>7</w:t>
      </w:r>
      <w:r>
        <w:rPr>
          <w:rFonts w:hint="default" w:ascii="Times New Roman" w:hAnsi="Times New Roman" w:cs="Times New Roman"/>
          <w:color w:val="000000"/>
          <w:lang w:val="en-US" w:eastAsia="zh-CN"/>
        </w:rPr>
        <w:t>月</w:t>
      </w:r>
      <w:r>
        <w:rPr>
          <w:rFonts w:hint="eastAsia" w:ascii="Times New Roman" w:hAnsi="Times New Roman" w:cs="Times New Roman"/>
          <w:color w:val="000000"/>
          <w:lang w:val="en-US" w:eastAsia="zh-CN"/>
        </w:rPr>
        <w:t>21</w:t>
      </w:r>
      <w:r>
        <w:rPr>
          <w:rFonts w:hint="default" w:ascii="Times New Roman" w:hAnsi="Times New Roman" w:cs="Times New Roman"/>
          <w:color w:val="000000"/>
          <w:lang w:val="en-US" w:eastAsia="zh-CN"/>
        </w:rPr>
        <w:t>日，</w:t>
      </w:r>
      <w:r>
        <w:rPr>
          <w:rFonts w:hint="eastAsia" w:ascii="Times New Roman" w:hAnsi="Times New Roman" w:cs="Times New Roman"/>
          <w:color w:val="000000"/>
          <w:lang w:val="en-US" w:eastAsia="zh-CN"/>
        </w:rPr>
        <w:t>验收工作启动，自主验收方式为委托其他机构。</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3</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2022年7月23日，河口采油厂与山东胜丰检测科技有限公司签订委托合同，合同中约定山东胜丰检测科技有限公司承担本项目竣工环境保护设施验收调查报告表的编制工作，建设单位对向委托单位提供的一切资料、数据和实物的真实性负责。</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4）山东胜丰检测科技有限公司成立于2013年5月10日，注册地位于山东省东营市东营区胜泰路胜普街1号118室，法定代表人为周兴友，经营范围包括了环境保护监测、环保咨询服务等内容，CMA：161521340555，具备对本项目进行竣工环境环保设施验收调查和环境监测的资质和能力。</w:t>
      </w:r>
    </w:p>
    <w:p>
      <w:pPr>
        <w:pStyle w:val="21"/>
        <w:keepNext w:val="0"/>
        <w:keepLines w:val="0"/>
        <w:pageBreakBefore w:val="0"/>
        <w:kinsoku/>
        <w:wordWrap/>
        <w:overflowPunct/>
        <w:topLinePunct w:val="0"/>
        <w:bidi w:val="0"/>
        <w:adjustRightInd w:val="0"/>
        <w:snapToGrid w:val="0"/>
        <w:spacing w:line="440" w:lineRule="exact"/>
        <w:textAlignment w:val="auto"/>
        <w:rPr>
          <w:rFonts w:hint="eastAsia" w:eastAsia="宋体" w:cs="宋体"/>
          <w:color w:val="auto"/>
          <w:lang w:val="en-US" w:eastAsia="zh-CN"/>
        </w:rPr>
      </w:pPr>
      <w:r>
        <w:rPr>
          <w:rFonts w:hint="default" w:ascii="Times New Roman" w:hAnsi="Times New Roman" w:cs="Times New Roman"/>
          <w:color w:val="000000"/>
          <w:lang w:val="en-US" w:eastAsia="zh-CN"/>
        </w:rPr>
        <w:t>5）2022年1</w:t>
      </w:r>
      <w:r>
        <w:rPr>
          <w:rFonts w:hint="eastAsia" w:ascii="Times New Roman" w:hAnsi="Times New Roman" w:cs="Times New Roman"/>
          <w:color w:val="000000"/>
          <w:lang w:val="en-US" w:eastAsia="zh-CN"/>
        </w:rPr>
        <w:t>1</w:t>
      </w:r>
      <w:r>
        <w:rPr>
          <w:rFonts w:hint="default" w:ascii="Times New Roman" w:hAnsi="Times New Roman" w:cs="Times New Roman"/>
          <w:color w:val="000000"/>
          <w:lang w:val="en-US" w:eastAsia="zh-CN"/>
        </w:rPr>
        <w:t>月</w:t>
      </w:r>
      <w:r>
        <w:rPr>
          <w:rFonts w:hint="eastAsia" w:ascii="Times New Roman" w:hAnsi="Times New Roman" w:cs="Times New Roman"/>
          <w:color w:val="000000"/>
          <w:lang w:val="en-US" w:eastAsia="zh-CN"/>
        </w:rPr>
        <w:t>，</w:t>
      </w:r>
      <w:r>
        <w:rPr>
          <w:rFonts w:hint="default" w:ascii="宋体" w:hAnsi="宋体" w:eastAsia="宋体" w:cs="宋体"/>
          <w:color w:val="auto"/>
        </w:rPr>
        <w:t>本项目竣工环境保护设施验收调查报告</w:t>
      </w:r>
      <w:r>
        <w:rPr>
          <w:rFonts w:hint="eastAsia" w:eastAsia="宋体" w:cs="宋体"/>
          <w:color w:val="auto"/>
          <w:lang w:val="en-US" w:eastAsia="zh-CN"/>
        </w:rPr>
        <w:t>表编制完成；</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lang w:val="en-US" w:eastAsia="zh-CN"/>
        </w:rPr>
      </w:pPr>
      <w:r>
        <w:rPr>
          <w:rFonts w:hint="default" w:ascii="Times New Roman" w:hAnsi="Times New Roman" w:eastAsia="宋体" w:cs="Times New Roman"/>
          <w:color w:val="auto"/>
          <w:highlight w:val="none"/>
          <w:lang w:val="en-US" w:eastAsia="zh-CN"/>
        </w:rPr>
        <w:t>6）</w:t>
      </w:r>
      <w:r>
        <w:rPr>
          <w:rFonts w:hint="default" w:ascii="Times New Roman" w:hAnsi="Times New Roman" w:cs="Times New Roman"/>
          <w:color w:val="000000"/>
          <w:highlight w:val="none"/>
          <w:lang w:val="en-US" w:eastAsia="zh-CN"/>
        </w:rPr>
        <w:t>2022年</w:t>
      </w:r>
      <w:r>
        <w:rPr>
          <w:rFonts w:hint="eastAsia" w:ascii="Times New Roman" w:hAnsi="Times New Roman" w:cs="Times New Roman"/>
          <w:color w:val="000000"/>
          <w:highlight w:val="none"/>
          <w:lang w:val="en-US" w:eastAsia="zh-CN"/>
        </w:rPr>
        <w:t>11</w:t>
      </w:r>
      <w:r>
        <w:rPr>
          <w:rFonts w:hint="default" w:ascii="Times New Roman" w:hAnsi="Times New Roman" w:cs="Times New Roman"/>
          <w:color w:val="000000"/>
          <w:highlight w:val="none"/>
          <w:lang w:val="en-US" w:eastAsia="zh-CN"/>
        </w:rPr>
        <w:t>月</w:t>
      </w:r>
      <w:r>
        <w:rPr>
          <w:rFonts w:hint="eastAsia" w:ascii="Times New Roman" w:hAnsi="Times New Roman" w:cs="Times New Roman"/>
          <w:color w:val="000000"/>
          <w:highlight w:val="none"/>
          <w:lang w:val="en-US" w:eastAsia="zh-CN"/>
        </w:rPr>
        <w:t>24</w:t>
      </w:r>
      <w:r>
        <w:rPr>
          <w:rFonts w:hint="default" w:ascii="Times New Roman" w:hAnsi="Times New Roman" w:cs="Times New Roman"/>
          <w:color w:val="000000"/>
          <w:highlight w:val="none"/>
          <w:lang w:val="en-US" w:eastAsia="zh-CN"/>
        </w:rPr>
        <w:t>日，中国石</w:t>
      </w:r>
      <w:r>
        <w:rPr>
          <w:rFonts w:hint="default" w:ascii="Times New Roman" w:hAnsi="Times New Roman" w:cs="Times New Roman"/>
          <w:color w:val="000000"/>
          <w:lang w:val="en-US" w:eastAsia="zh-CN"/>
        </w:rPr>
        <w:t>油化工股份有限公司胜利油田分公司</w:t>
      </w:r>
      <w:r>
        <w:rPr>
          <w:rFonts w:hint="eastAsia" w:ascii="Times New Roman" w:hAnsi="Times New Roman" w:cs="Times New Roman"/>
          <w:color w:val="000000"/>
          <w:lang w:val="en-US" w:eastAsia="zh-CN"/>
        </w:rPr>
        <w:t>河口</w:t>
      </w:r>
      <w:r>
        <w:rPr>
          <w:rFonts w:hint="default" w:ascii="Times New Roman" w:hAnsi="Times New Roman" w:cs="Times New Roman"/>
          <w:color w:val="000000"/>
          <w:lang w:val="en-US" w:eastAsia="zh-CN"/>
        </w:rPr>
        <w:t>采油厂组织了企业自主验收会，专家组出具了专家</w:t>
      </w:r>
      <w:r>
        <w:rPr>
          <w:rFonts w:hint="eastAsia" w:ascii="Times New Roman" w:hAnsi="Times New Roman" w:cs="Times New Roman"/>
          <w:color w:val="000000"/>
          <w:lang w:val="en-US" w:eastAsia="zh-CN"/>
        </w:rPr>
        <w:t>验收</w:t>
      </w:r>
      <w:r>
        <w:rPr>
          <w:rFonts w:hint="default" w:ascii="Times New Roman" w:hAnsi="Times New Roman" w:cs="Times New Roman"/>
          <w:color w:val="000000"/>
          <w:lang w:val="en-US" w:eastAsia="zh-CN"/>
        </w:rPr>
        <w:t>意见，</w:t>
      </w:r>
      <w:r>
        <w:rPr>
          <w:rFonts w:hint="eastAsia" w:ascii="Times New Roman" w:hAnsi="Times New Roman" w:cs="Times New Roman"/>
          <w:color w:val="000000"/>
          <w:lang w:val="en-US" w:eastAsia="zh-CN"/>
        </w:rPr>
        <w:t>认为本项目环境保护手续齐全，基本落实了环评及批复文件提出的各项环保措施和要求，污染物排放满足国家和地方现行排放标准，同意</w:t>
      </w:r>
      <w:r>
        <w:rPr>
          <w:rFonts w:hint="default" w:ascii="Times New Roman" w:hAnsi="Times New Roman" w:cs="Times New Roman"/>
          <w:color w:val="000000"/>
          <w:lang w:val="en-US" w:eastAsia="zh-CN"/>
        </w:rPr>
        <w:t>通过竣工环</w:t>
      </w:r>
      <w:r>
        <w:rPr>
          <w:rFonts w:hint="eastAsia" w:ascii="Times New Roman" w:hAnsi="Times New Roman" w:cs="Times New Roman"/>
          <w:color w:val="000000"/>
          <w:lang w:val="en-US" w:eastAsia="zh-CN"/>
        </w:rPr>
        <w:t>境</w:t>
      </w:r>
      <w:r>
        <w:rPr>
          <w:rFonts w:hint="default" w:ascii="Times New Roman" w:hAnsi="Times New Roman" w:cs="Times New Roman"/>
          <w:color w:val="000000"/>
          <w:lang w:val="en-US" w:eastAsia="zh-CN"/>
        </w:rPr>
        <w:t>保</w:t>
      </w:r>
      <w:r>
        <w:rPr>
          <w:rFonts w:hint="eastAsia" w:ascii="Times New Roman" w:hAnsi="Times New Roman" w:cs="Times New Roman"/>
          <w:color w:val="000000"/>
          <w:lang w:val="en-US" w:eastAsia="zh-CN"/>
        </w:rPr>
        <w:t>护</w:t>
      </w:r>
      <w:r>
        <w:rPr>
          <w:rFonts w:hint="default" w:ascii="Times New Roman" w:hAnsi="Times New Roman" w:cs="Times New Roman"/>
          <w:color w:val="000000"/>
          <w:lang w:val="en-US" w:eastAsia="zh-CN"/>
        </w:rPr>
        <w:t>验收。</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textAlignment w:val="auto"/>
        <w:outlineLvl w:val="0"/>
        <w:rPr>
          <w:rFonts w:hint="eastAsia" w:ascii="黑体" w:hAnsi="黑体" w:eastAsia="黑体" w:cs="TimesNewRomanPSMT"/>
          <w:color w:val="000000"/>
          <w:sz w:val="28"/>
          <w:szCs w:val="28"/>
          <w:highlight w:val="none"/>
        </w:rPr>
      </w:pPr>
      <w:r>
        <w:rPr>
          <w:rFonts w:hint="eastAsia" w:ascii="黑体" w:hAnsi="黑体" w:eastAsia="黑体" w:cs="TimesNewRomanPSMT"/>
          <w:color w:val="000000"/>
          <w:sz w:val="28"/>
          <w:szCs w:val="28"/>
          <w:highlight w:val="none"/>
        </w:rPr>
        <w:t>2 信息公开和公众意见反馈</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highlight w:val="none"/>
        </w:rPr>
      </w:pPr>
      <w:r>
        <w:rPr>
          <w:rFonts w:ascii="黑体" w:hAnsi="黑体" w:eastAsia="黑体" w:cs="TimesNewRomanPSMT"/>
          <w:color w:val="000000"/>
          <w:sz w:val="24"/>
          <w:szCs w:val="24"/>
          <w:highlight w:val="none"/>
        </w:rPr>
        <w:t xml:space="preserve">2.1 </w:t>
      </w:r>
      <w:r>
        <w:rPr>
          <w:rFonts w:hint="eastAsia" w:ascii="黑体" w:hAnsi="黑体" w:eastAsia="黑体" w:cs="TimesNewRomanPSMT"/>
          <w:color w:val="000000"/>
          <w:sz w:val="24"/>
          <w:szCs w:val="24"/>
          <w:highlight w:val="none"/>
        </w:rPr>
        <w:t>信息公开</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szCs w:val="24"/>
          <w:highlight w:val="none"/>
        </w:rPr>
      </w:pPr>
      <w:r>
        <w:rPr>
          <w:rFonts w:hint="default" w:ascii="Times New Roman" w:hAnsi="Times New Roman" w:eastAsia="宋体" w:cs="Times New Roman"/>
          <w:color w:val="auto"/>
        </w:rPr>
        <w:t>202</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年</w:t>
      </w:r>
      <w:r>
        <w:rPr>
          <w:rFonts w:hint="eastAsia" w:ascii="Times New Roman" w:hAnsi="Times New Roman" w:eastAsia="宋体" w:cs="Times New Roman"/>
          <w:color w:val="auto"/>
          <w:lang w:val="en-US" w:eastAsia="zh-CN"/>
        </w:rPr>
        <w:t>7</w:t>
      </w:r>
      <w:r>
        <w:rPr>
          <w:rFonts w:hint="default"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hint="default" w:ascii="Times New Roman" w:hAnsi="Times New Roman" w:eastAsia="宋体" w:cs="Times New Roman"/>
          <w:color w:val="auto"/>
        </w:rPr>
        <w:t>日</w:t>
      </w:r>
      <w:r>
        <w:rPr>
          <w:rFonts w:hint="default" w:ascii="Times New Roman" w:hAnsi="Times New Roman" w:cs="Times New Roman"/>
          <w:color w:val="000000"/>
          <w:highlight w:val="none"/>
        </w:rPr>
        <w:t>，建设单位对该工程的竣工日期及调试时间进行了网上公示（http：//slof.sinopec.com/slof/csr），</w:t>
      </w:r>
      <w:r>
        <w:rPr>
          <w:rFonts w:hint="eastAsia" w:ascii="Times New Roman" w:hAnsi="Times New Roman" w:cs="Times New Roman"/>
          <w:color w:val="000000"/>
          <w:highlight w:val="none"/>
          <w:lang w:val="en-US" w:eastAsia="zh-CN"/>
        </w:rPr>
        <w:t>同时</w:t>
      </w:r>
      <w:r>
        <w:rPr>
          <w:rFonts w:hint="default" w:ascii="Times New Roman" w:hAnsi="Times New Roman" w:cs="Times New Roman"/>
          <w:color w:val="000000"/>
          <w:highlight w:val="none"/>
        </w:rPr>
        <w:t>向公众公示本项目建设</w:t>
      </w:r>
      <w:r>
        <w:rPr>
          <w:rFonts w:hint="eastAsia" w:ascii="Times New Roman" w:hAnsi="Times New Roman" w:cs="Times New Roman"/>
          <w:color w:val="000000"/>
          <w:highlight w:val="none"/>
          <w:lang w:val="en-US" w:eastAsia="zh-CN"/>
        </w:rPr>
        <w:t>内容</w:t>
      </w:r>
      <w:r>
        <w:rPr>
          <w:rFonts w:hint="default" w:ascii="Times New Roman" w:hAnsi="Times New Roman" w:cs="Times New Roman"/>
          <w:color w:val="000000"/>
          <w:highlight w:val="none"/>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highlight w:val="none"/>
        </w:rPr>
      </w:pPr>
      <w:r>
        <w:rPr>
          <w:rFonts w:ascii="黑体" w:hAnsi="黑体" w:eastAsia="黑体" w:cs="TimesNewRomanPSMT"/>
          <w:color w:val="000000"/>
          <w:sz w:val="24"/>
          <w:szCs w:val="24"/>
          <w:highlight w:val="none"/>
        </w:rPr>
        <w:t xml:space="preserve">2.2 </w:t>
      </w:r>
      <w:r>
        <w:rPr>
          <w:rFonts w:hint="eastAsia" w:ascii="黑体" w:hAnsi="黑体" w:eastAsia="黑体" w:cs="TimesNewRomanPSMT"/>
          <w:color w:val="000000"/>
          <w:sz w:val="24"/>
          <w:szCs w:val="24"/>
          <w:highlight w:val="none"/>
        </w:rPr>
        <w:t>公众参与渠道</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highlight w:val="none"/>
        </w:rPr>
      </w:pPr>
      <w:r>
        <w:rPr>
          <w:rFonts w:hint="eastAsia"/>
          <w:color w:val="000000"/>
          <w:highlight w:val="none"/>
        </w:rPr>
        <w:t>根据</w:t>
      </w:r>
      <w:r>
        <w:rPr>
          <w:color w:val="000000"/>
          <w:highlight w:val="none"/>
        </w:rPr>
        <w:t>本项目特点和实际建设情况，</w:t>
      </w:r>
      <w:r>
        <w:rPr>
          <w:rFonts w:hint="eastAsia"/>
          <w:color w:val="000000"/>
          <w:highlight w:val="none"/>
        </w:rPr>
        <w:t>建设单位采用</w:t>
      </w:r>
      <w:r>
        <w:rPr>
          <w:color w:val="000000"/>
          <w:highlight w:val="none"/>
        </w:rPr>
        <w:t>电话</w:t>
      </w:r>
      <w:r>
        <w:rPr>
          <w:rFonts w:hint="eastAsia"/>
          <w:color w:val="000000"/>
          <w:highlight w:val="none"/>
        </w:rPr>
        <w:t>和</w:t>
      </w:r>
      <w:r>
        <w:rPr>
          <w:rFonts w:hint="eastAsia"/>
          <w:color w:val="000000"/>
          <w:highlight w:val="none"/>
          <w:lang w:val="en-US" w:eastAsia="zh-CN"/>
        </w:rPr>
        <w:t>邮箱</w:t>
      </w:r>
      <w:r>
        <w:rPr>
          <w:color w:val="000000"/>
          <w:highlight w:val="none"/>
        </w:rPr>
        <w:t>回复的方式收集</w:t>
      </w:r>
      <w:r>
        <w:rPr>
          <w:rFonts w:hint="eastAsia"/>
          <w:color w:val="000000"/>
          <w:highlight w:val="none"/>
        </w:rPr>
        <w:t>公众意见和建议。</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highlight w:val="none"/>
        </w:rPr>
      </w:pPr>
      <w:r>
        <w:rPr>
          <w:rFonts w:ascii="黑体" w:hAnsi="黑体" w:eastAsia="黑体" w:cs="TimesNewRomanPSMT"/>
          <w:color w:val="000000"/>
          <w:sz w:val="24"/>
          <w:szCs w:val="24"/>
          <w:highlight w:val="none"/>
        </w:rPr>
        <w:t xml:space="preserve">2.3 </w:t>
      </w:r>
      <w:r>
        <w:rPr>
          <w:rFonts w:hint="eastAsia" w:ascii="黑体" w:hAnsi="黑体" w:eastAsia="黑体" w:cs="TimesNewRomanPSMT"/>
          <w:color w:val="000000"/>
          <w:sz w:val="24"/>
          <w:szCs w:val="24"/>
          <w:highlight w:val="none"/>
        </w:rPr>
        <w:t>公众意见处理</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highlight w:val="none"/>
        </w:rPr>
      </w:pPr>
      <w:r>
        <w:rPr>
          <w:rFonts w:hint="eastAsia"/>
          <w:color w:val="000000"/>
          <w:highlight w:val="none"/>
        </w:rPr>
        <w:t>建设单位承诺</w:t>
      </w:r>
      <w:r>
        <w:rPr>
          <w:color w:val="000000"/>
          <w:highlight w:val="none"/>
        </w:rPr>
        <w:t>会</w:t>
      </w:r>
      <w:r>
        <w:rPr>
          <w:rFonts w:hint="eastAsia"/>
          <w:color w:val="000000"/>
          <w:highlight w:val="none"/>
        </w:rPr>
        <w:t>严格记录公众反馈意见或投诉、收到时间、渠道以及反馈或投诉的内容，并</w:t>
      </w:r>
      <w:r>
        <w:rPr>
          <w:color w:val="000000"/>
          <w:highlight w:val="none"/>
        </w:rPr>
        <w:t>及时</w:t>
      </w:r>
      <w:r>
        <w:rPr>
          <w:rFonts w:hint="eastAsia"/>
          <w:color w:val="000000"/>
          <w:highlight w:val="none"/>
        </w:rPr>
        <w:t>处理或解决公众意见，</w:t>
      </w:r>
      <w:r>
        <w:rPr>
          <w:color w:val="000000"/>
          <w:highlight w:val="none"/>
        </w:rPr>
        <w:t>给出采纳与否的情况说明</w:t>
      </w:r>
      <w:r>
        <w:rPr>
          <w:rFonts w:hint="eastAsia"/>
          <w:color w:val="000000"/>
          <w:highlight w:val="none"/>
        </w:rPr>
        <w:t>。</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highlight w:val="none"/>
        </w:rPr>
      </w:pPr>
      <w:r>
        <w:rPr>
          <w:rFonts w:hint="eastAsia"/>
          <w:color w:val="000000"/>
          <w:highlight w:val="none"/>
        </w:rPr>
        <w:t>本项目</w:t>
      </w:r>
      <w:r>
        <w:rPr>
          <w:color w:val="000000"/>
          <w:highlight w:val="none"/>
        </w:rPr>
        <w:t>建设过程、验收调查期间</w:t>
      </w:r>
      <w:r>
        <w:rPr>
          <w:rFonts w:hint="eastAsia"/>
          <w:color w:val="000000"/>
          <w:highlight w:val="none"/>
          <w:lang w:val="en-US" w:eastAsia="zh-CN"/>
        </w:rPr>
        <w:t>均</w:t>
      </w:r>
      <w:r>
        <w:rPr>
          <w:color w:val="000000"/>
          <w:highlight w:val="none"/>
        </w:rPr>
        <w:t>未收到公众</w:t>
      </w:r>
      <w:r>
        <w:rPr>
          <w:rFonts w:hint="eastAsia"/>
          <w:color w:val="000000"/>
          <w:highlight w:val="none"/>
          <w:lang w:val="en-US" w:eastAsia="zh-CN"/>
        </w:rPr>
        <w:t>反馈</w:t>
      </w:r>
      <w:r>
        <w:rPr>
          <w:color w:val="000000"/>
          <w:highlight w:val="none"/>
        </w:rPr>
        <w:t>意见或投诉，表明公众支持该项目的建设和运营。</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textAlignment w:val="auto"/>
        <w:outlineLvl w:val="0"/>
        <w:rPr>
          <w:rFonts w:hint="eastAsia" w:ascii="黑体" w:hAnsi="黑体" w:eastAsia="黑体" w:cs="TimesNewRomanPSMT"/>
          <w:color w:val="000000"/>
          <w:sz w:val="28"/>
          <w:szCs w:val="28"/>
          <w:highlight w:val="none"/>
        </w:rPr>
      </w:pPr>
      <w:r>
        <w:rPr>
          <w:rFonts w:hint="eastAsia" w:ascii="黑体" w:hAnsi="黑体" w:eastAsia="黑体" w:cs="TimesNewRomanPSMT"/>
          <w:color w:val="000000"/>
          <w:sz w:val="28"/>
          <w:szCs w:val="28"/>
          <w:highlight w:val="none"/>
        </w:rPr>
        <w:t>3 其他环境措施的落实情况</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highlight w:val="none"/>
        </w:rPr>
      </w:pPr>
      <w:r>
        <w:rPr>
          <w:rFonts w:ascii="黑体" w:hAnsi="黑体" w:eastAsia="黑体" w:cs="TimesNewRomanPSMT"/>
          <w:color w:val="000000"/>
          <w:sz w:val="24"/>
          <w:szCs w:val="24"/>
          <w:highlight w:val="none"/>
        </w:rPr>
        <w:t xml:space="preserve">3.1 </w:t>
      </w:r>
      <w:r>
        <w:rPr>
          <w:rFonts w:hint="eastAsia" w:ascii="黑体" w:hAnsi="黑体" w:eastAsia="黑体" w:cs="TimesNewRomanPSMT"/>
          <w:color w:val="000000"/>
          <w:sz w:val="24"/>
          <w:szCs w:val="24"/>
          <w:highlight w:val="none"/>
        </w:rPr>
        <w:t>制度措施落实</w:t>
      </w:r>
      <w:r>
        <w:rPr>
          <w:rFonts w:ascii="黑体" w:hAnsi="黑体" w:eastAsia="黑体" w:cs="TimesNewRomanPSMT"/>
          <w:color w:val="000000"/>
          <w:sz w:val="24"/>
          <w:szCs w:val="24"/>
          <w:highlight w:val="none"/>
        </w:rPr>
        <w:t>情况</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default" w:ascii="黑体" w:hAnsi="黑体" w:eastAsia="黑体" w:cs="TimesNewRomanPSMT"/>
          <w:color w:val="000000"/>
          <w:sz w:val="24"/>
          <w:szCs w:val="24"/>
          <w:highlight w:val="none"/>
          <w:lang w:val="en-US" w:eastAsia="zh-CN"/>
        </w:rPr>
      </w:pPr>
      <w:r>
        <w:rPr>
          <w:rFonts w:hint="eastAsia" w:ascii="黑体" w:hAnsi="黑体" w:eastAsia="黑体" w:cs="TimesNewRomanPSMT"/>
          <w:color w:val="000000"/>
          <w:sz w:val="24"/>
          <w:szCs w:val="24"/>
          <w:highlight w:val="none"/>
        </w:rPr>
        <w:t xml:space="preserve">3.1.1 </w:t>
      </w:r>
      <w:r>
        <w:rPr>
          <w:rFonts w:hint="eastAsia" w:ascii="黑体" w:hAnsi="黑体" w:eastAsia="黑体" w:cs="TimesNewRomanPSMT"/>
          <w:color w:val="000000"/>
          <w:sz w:val="24"/>
          <w:szCs w:val="24"/>
          <w:highlight w:val="none"/>
          <w:lang w:val="en-US" w:eastAsia="zh-CN"/>
        </w:rPr>
        <w:t>环境保护组织机构及规章制度</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建设单位QHSE管理部负责全厂环保专业技术综合管理，机关各业务部门按各自环保管理职责负责分管业务范围内的环保管理。采油厂所属各单位、直属单位按采油厂环保管理实施细则负责本单位环保管理。</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highlight w:val="none"/>
        </w:rPr>
      </w:pPr>
      <w:r>
        <w:rPr>
          <w:rFonts w:hint="default" w:ascii="Times New Roman" w:hAnsi="Times New Roman" w:cs="Times New Roman"/>
          <w:color w:val="000000"/>
          <w:highlight w:val="none"/>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w:t>
      </w:r>
      <w:r>
        <w:rPr>
          <w:rFonts w:hint="eastAsia"/>
          <w:color w:val="000000"/>
          <w:highlight w:val="none"/>
        </w:rPr>
        <w:t>单位，监督设计单位和施工单位具体落实设计中环保工程和环境影响</w:t>
      </w:r>
      <w:r>
        <w:rPr>
          <w:rFonts w:hint="eastAsia"/>
          <w:color w:val="000000"/>
          <w:highlight w:val="none"/>
          <w:lang w:val="en-US" w:eastAsia="zh-CN"/>
        </w:rPr>
        <w:t>评价</w:t>
      </w:r>
      <w:r>
        <w:rPr>
          <w:rFonts w:hint="eastAsia"/>
          <w:color w:val="000000"/>
          <w:highlight w:val="none"/>
        </w:rPr>
        <w:t>报告提出环保措施的实施。</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highlight w:val="none"/>
        </w:rPr>
      </w:pPr>
      <w:r>
        <w:rPr>
          <w:rFonts w:hint="eastAsia"/>
          <w:color w:val="000000"/>
          <w:highlight w:val="none"/>
        </w:rPr>
        <w:t>在生</w:t>
      </w:r>
      <w:r>
        <w:rPr>
          <w:rFonts w:hint="default" w:ascii="Times New Roman" w:hAnsi="Times New Roman" w:cs="Times New Roman"/>
          <w:color w:val="000000"/>
          <w:highlight w:val="none"/>
        </w:rPr>
        <w:t>产运营期，由建设单位QH</w:t>
      </w:r>
      <w:r>
        <w:rPr>
          <w:rFonts w:hint="eastAsia" w:ascii="Times New Roman" w:hAnsi="Times New Roman" w:cs="Times New Roman"/>
          <w:color w:val="000000"/>
          <w:highlight w:val="none"/>
          <w:lang w:val="en-US" w:eastAsia="zh-CN"/>
        </w:rPr>
        <w:t>S</w:t>
      </w:r>
      <w:r>
        <w:rPr>
          <w:rFonts w:hint="default" w:ascii="Times New Roman" w:hAnsi="Times New Roman" w:cs="Times New Roman"/>
          <w:color w:val="000000"/>
          <w:highlight w:val="none"/>
        </w:rPr>
        <w:t>E管理部统一负责本项目的环保管理工作，在</w:t>
      </w:r>
      <w:r>
        <w:rPr>
          <w:rFonts w:hint="eastAsia" w:ascii="Times New Roman" w:hAnsi="Times New Roman" w:cs="Times New Roman"/>
          <w:color w:val="000000"/>
          <w:highlight w:val="none"/>
          <w:lang w:val="en-US" w:eastAsia="zh-CN"/>
        </w:rPr>
        <w:t>所属管理区</w:t>
      </w:r>
      <w:r>
        <w:rPr>
          <w:rFonts w:hint="default" w:ascii="Times New Roman" w:hAnsi="Times New Roman" w:cs="Times New Roman"/>
          <w:color w:val="000000"/>
          <w:highlight w:val="none"/>
        </w:rPr>
        <w:t>设置专职环保员，负责环保文件和技术资料的归档，协助进行环保工程的验收，负责运营期间的环境监测、事故防范和外部协调工</w:t>
      </w:r>
      <w:r>
        <w:rPr>
          <w:rFonts w:hint="eastAsia"/>
          <w:color w:val="000000"/>
          <w:highlight w:val="none"/>
        </w:rPr>
        <w:t>作</w:t>
      </w:r>
      <w:r>
        <w:rPr>
          <w:color w:val="000000"/>
          <w:highlight w:val="none"/>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eastAsia" w:ascii="黑体" w:hAnsi="黑体" w:eastAsia="黑体" w:cs="TimesNewRomanPSMT"/>
          <w:b w:val="0"/>
          <w:bCs w:val="0"/>
          <w:color w:val="000000"/>
          <w:sz w:val="24"/>
          <w:szCs w:val="24"/>
          <w:highlight w:val="none"/>
        </w:rPr>
      </w:pPr>
      <w:r>
        <w:rPr>
          <w:rFonts w:hint="eastAsia" w:ascii="黑体" w:hAnsi="黑体" w:eastAsia="黑体" w:cs="TimesNewRomanPSMT"/>
          <w:b w:val="0"/>
          <w:bCs w:val="0"/>
          <w:color w:val="000000"/>
          <w:sz w:val="24"/>
          <w:szCs w:val="24"/>
          <w:highlight w:val="none"/>
        </w:rPr>
        <w:t>3.1.2 环境风险防范措施</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中国石油化工股份有限公司胜利油田分公司河口采油厂制定了《中国石油化工股份有限公司胜利油田分公司河口采油厂（河口区）突发环境事件应急预案》，该预案包括突发环境事件综合应急预案、专项应急预案以及现场处置方案，内容包含组织机构及职责、预防与预警、信息报告程序、应急处置、应急物资与装备保障等。该预案已于2020年4月26日取得东营生态环境局河口分局备案，备案编号370503-2020-009-M。</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rPr>
      </w:pPr>
      <w:r>
        <w:rPr>
          <w:rFonts w:hint="eastAsia" w:ascii="Times New Roman" w:hAnsi="Times New Roman" w:cs="Times New Roman"/>
          <w:color w:val="000000"/>
          <w:highlight w:val="none"/>
          <w:lang w:val="en-US" w:eastAsia="zh-CN"/>
        </w:rPr>
        <w:t>应急预案</w:t>
      </w:r>
      <w:r>
        <w:rPr>
          <w:rFonts w:hint="default" w:ascii="Times New Roman" w:hAnsi="Times New Roman" w:cs="Times New Roman"/>
          <w:color w:val="000000"/>
          <w:highlight w:val="none"/>
        </w:rPr>
        <w:t>按照环境事件的级别、危害的程度、事故现场的位置及事故现场情况分析结果，人员伤亡及环境破坏严重程度，分为一级响应、二级响应、三级响应。三级响应运行现场</w:t>
      </w:r>
      <w:r>
        <w:rPr>
          <w:rFonts w:hint="eastAsia" w:ascii="Times New Roman" w:hAnsi="Times New Roman" w:cs="Times New Roman"/>
          <w:color w:val="000000"/>
          <w:highlight w:val="none"/>
          <w:lang w:val="en-US" w:eastAsia="zh-CN"/>
        </w:rPr>
        <w:t>应急</w:t>
      </w:r>
      <w:r>
        <w:rPr>
          <w:rFonts w:hint="default" w:ascii="Times New Roman" w:hAnsi="Times New Roman" w:cs="Times New Roman"/>
          <w:color w:val="000000"/>
          <w:highlight w:val="none"/>
        </w:rPr>
        <w:t>处置方案，由站内应急救援小组实施抢救工作</w:t>
      </w:r>
      <w:r>
        <w:rPr>
          <w:rFonts w:hint="eastAsia" w:ascii="Times New Roman" w:hAnsi="Times New Roman" w:cs="Times New Roman"/>
          <w:color w:val="000000"/>
          <w:highlight w:val="none"/>
          <w:lang w:eastAsia="zh-CN"/>
        </w:rPr>
        <w:t>；</w:t>
      </w:r>
      <w:r>
        <w:rPr>
          <w:rFonts w:hint="default" w:ascii="Times New Roman" w:hAnsi="Times New Roman" w:cs="Times New Roman"/>
          <w:color w:val="000000"/>
          <w:highlight w:val="none"/>
        </w:rPr>
        <w:t>二级响应由采油区应急指挥中心进行处置，并视情况请求上级增援</w:t>
      </w:r>
      <w:r>
        <w:rPr>
          <w:rFonts w:hint="eastAsia" w:ascii="Times New Roman" w:hAnsi="Times New Roman" w:cs="Times New Roman"/>
          <w:color w:val="000000"/>
          <w:highlight w:val="none"/>
          <w:lang w:eastAsia="zh-CN"/>
        </w:rPr>
        <w:t>；</w:t>
      </w:r>
      <w:r>
        <w:rPr>
          <w:rFonts w:hint="eastAsia" w:ascii="Times New Roman" w:hAnsi="Times New Roman" w:cs="Times New Roman"/>
          <w:color w:val="000000"/>
          <w:highlight w:val="none"/>
          <w:lang w:val="en-US" w:eastAsia="zh-CN"/>
        </w:rPr>
        <w:t>一级响应</w:t>
      </w:r>
      <w:r>
        <w:rPr>
          <w:rFonts w:hint="default" w:ascii="Times New Roman" w:hAnsi="Times New Roman" w:cs="Times New Roman"/>
          <w:color w:val="000000"/>
          <w:highlight w:val="none"/>
        </w:rPr>
        <w:t>由公司应急指挥中心进行处置，并请求外部增援。</w:t>
      </w:r>
    </w:p>
    <w:p>
      <w:pPr>
        <w:pStyle w:val="21"/>
        <w:keepNext w:val="0"/>
        <w:keepLines w:val="0"/>
        <w:pageBreakBefore w:val="0"/>
        <w:kinsoku/>
        <w:wordWrap/>
        <w:overflowPunct/>
        <w:topLinePunct w:val="0"/>
        <w:bidi w:val="0"/>
        <w:adjustRightInd w:val="0"/>
        <w:snapToGrid w:val="0"/>
        <w:spacing w:line="440" w:lineRule="exact"/>
        <w:textAlignment w:val="auto"/>
        <w:rPr>
          <w:rFonts w:hint="eastAsia"/>
          <w:color w:val="000000"/>
          <w:highlight w:val="none"/>
        </w:rPr>
      </w:pPr>
      <w:r>
        <w:rPr>
          <w:rFonts w:hint="eastAsia" w:ascii="Times New Roman" w:hAnsi="Times New Roman" w:cs="Times New Roman"/>
          <w:color w:val="000000"/>
          <w:highlight w:val="none"/>
          <w:lang w:val="en-US" w:eastAsia="zh-CN"/>
        </w:rPr>
        <w:t>建设单位</w:t>
      </w:r>
      <w:r>
        <w:rPr>
          <w:rFonts w:hint="default" w:ascii="Times New Roman" w:hAnsi="Times New Roman" w:cs="Times New Roman"/>
          <w:color w:val="000000"/>
          <w:highlight w:val="none"/>
        </w:rPr>
        <w:t>配备了所需应急物资；配有环保管理机构和人员，有完整的环保管理制度和突发事件应急管理体系及应急人员，并定期进行</w:t>
      </w:r>
      <w:r>
        <w:rPr>
          <w:rFonts w:hint="eastAsia" w:ascii="Times New Roman" w:hAnsi="Times New Roman" w:cs="Times New Roman"/>
          <w:color w:val="000000"/>
          <w:highlight w:val="none"/>
          <w:lang w:val="en-US" w:eastAsia="zh-CN"/>
        </w:rPr>
        <w:t>了</w:t>
      </w:r>
      <w:r>
        <w:rPr>
          <w:rFonts w:hint="default" w:ascii="Times New Roman" w:hAnsi="Times New Roman" w:cs="Times New Roman"/>
          <w:color w:val="000000"/>
          <w:highlight w:val="none"/>
        </w:rPr>
        <w:t>演练</w:t>
      </w:r>
      <w:r>
        <w:rPr>
          <w:rFonts w:hint="eastAsia"/>
          <w:color w:val="000000"/>
          <w:highlight w:val="none"/>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default" w:ascii="黑体" w:hAnsi="黑体" w:eastAsia="黑体" w:cs="TimesNewRomanPSMT"/>
          <w:b w:val="0"/>
          <w:bCs w:val="0"/>
          <w:color w:val="000000"/>
          <w:sz w:val="24"/>
          <w:szCs w:val="24"/>
          <w:highlight w:val="none"/>
          <w:lang w:val="en-US" w:eastAsia="zh-CN"/>
        </w:rPr>
      </w:pPr>
      <w:r>
        <w:rPr>
          <w:rFonts w:hint="eastAsia" w:ascii="黑体" w:hAnsi="黑体" w:eastAsia="黑体" w:cs="TimesNewRomanPSMT"/>
          <w:b w:val="0"/>
          <w:bCs w:val="0"/>
          <w:color w:val="000000"/>
          <w:sz w:val="24"/>
          <w:szCs w:val="24"/>
          <w:highlight w:val="none"/>
        </w:rPr>
        <w:t>3.1.</w:t>
      </w:r>
      <w:r>
        <w:rPr>
          <w:rFonts w:hint="eastAsia" w:ascii="黑体" w:hAnsi="黑体" w:eastAsia="黑体" w:cs="TimesNewRomanPSMT"/>
          <w:b w:val="0"/>
          <w:bCs w:val="0"/>
          <w:color w:val="000000"/>
          <w:sz w:val="24"/>
          <w:szCs w:val="24"/>
          <w:highlight w:val="none"/>
          <w:lang w:val="en-US" w:eastAsia="zh-CN"/>
        </w:rPr>
        <w:t>3</w:t>
      </w:r>
      <w:r>
        <w:rPr>
          <w:rFonts w:hint="eastAsia" w:ascii="黑体" w:hAnsi="黑体" w:eastAsia="黑体" w:cs="TimesNewRomanPSMT"/>
          <w:b w:val="0"/>
          <w:bCs w:val="0"/>
          <w:color w:val="000000"/>
          <w:sz w:val="24"/>
          <w:szCs w:val="24"/>
          <w:highlight w:val="none"/>
        </w:rPr>
        <w:t xml:space="preserve"> </w:t>
      </w:r>
      <w:r>
        <w:rPr>
          <w:rFonts w:hint="eastAsia" w:ascii="黑体" w:hAnsi="黑体" w:eastAsia="黑体" w:cs="TimesNewRomanPSMT"/>
          <w:b w:val="0"/>
          <w:bCs w:val="0"/>
          <w:color w:val="000000"/>
          <w:sz w:val="24"/>
          <w:szCs w:val="24"/>
          <w:highlight w:val="none"/>
          <w:lang w:val="en-US" w:eastAsia="zh-CN"/>
        </w:rPr>
        <w:t>生态环境监测和调查计划</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宋体" w:hAnsi="宋体" w:cs="Times New Roman"/>
          <w:color w:val="000000"/>
          <w:highlight w:val="none"/>
          <w:lang w:val="en-US" w:eastAsia="zh-CN"/>
        </w:rPr>
      </w:pPr>
      <w:r>
        <w:rPr>
          <w:rFonts w:hint="eastAsia" w:ascii="Times New Roman" w:hAnsi="Times New Roman" w:cs="Times New Roman"/>
          <w:color w:val="000000"/>
          <w:highlight w:val="none"/>
          <w:lang w:val="en-US" w:eastAsia="zh-CN"/>
        </w:rPr>
        <w:t>根据环境影响报告表及其批复文件的要求，建设单位制定了运营期环境监测计划，纳入采油厂年度环境监测计划。根据调查，河口采油厂严格按照年度环境监测计划的要求，委托有资质单位定期对井场厂界非甲烷总烃浓度和厂界噪声，以及地下水环境质量和土壤环境质量等进行了监测，同时</w:t>
      </w:r>
      <w:r>
        <w:rPr>
          <w:rFonts w:hint="eastAsia" w:ascii="宋体" w:hAnsi="宋体" w:cs="Times New Roman"/>
          <w:color w:val="000000"/>
          <w:highlight w:val="none"/>
          <w:lang w:val="en-US" w:eastAsia="zh-CN"/>
        </w:rPr>
        <w:t>通过</w:t>
      </w:r>
      <w:r>
        <w:rPr>
          <w:rFonts w:hint="eastAsia" w:cs="Times New Roman"/>
          <w:color w:val="000000"/>
          <w:highlight w:val="none"/>
          <w:lang w:val="en-US" w:eastAsia="zh-CN"/>
        </w:rPr>
        <w:t>定期巡检</w:t>
      </w:r>
      <w:r>
        <w:rPr>
          <w:rFonts w:hint="eastAsia" w:ascii="宋体" w:hAnsi="宋体" w:cs="Times New Roman"/>
          <w:color w:val="000000"/>
          <w:highlight w:val="none"/>
          <w:lang w:val="en-US" w:eastAsia="zh-CN"/>
        </w:rPr>
        <w:t>巡线</w:t>
      </w:r>
      <w:r>
        <w:rPr>
          <w:rFonts w:hint="eastAsia" w:cs="Times New Roman"/>
          <w:color w:val="000000"/>
          <w:highlight w:val="none"/>
          <w:lang w:val="en-US" w:eastAsia="zh-CN"/>
        </w:rPr>
        <w:t>，</w:t>
      </w:r>
      <w:r>
        <w:rPr>
          <w:rFonts w:hint="eastAsia" w:ascii="宋体" w:hAnsi="宋体" w:cs="Times New Roman"/>
          <w:color w:val="000000"/>
          <w:highlight w:val="none"/>
          <w:lang w:val="en-US" w:eastAsia="zh-CN"/>
        </w:rPr>
        <w:t>及时发现沿线生态变化情况。</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highlight w:val="none"/>
        </w:rPr>
      </w:pPr>
      <w:r>
        <w:rPr>
          <w:rFonts w:ascii="黑体" w:hAnsi="黑体" w:eastAsia="黑体" w:cs="TimesNewRomanPSMT"/>
          <w:color w:val="000000"/>
          <w:sz w:val="24"/>
          <w:szCs w:val="24"/>
          <w:highlight w:val="none"/>
        </w:rPr>
        <w:t xml:space="preserve">3.2 </w:t>
      </w:r>
      <w:r>
        <w:rPr>
          <w:rFonts w:hint="eastAsia" w:ascii="黑体" w:hAnsi="黑体" w:eastAsia="黑体" w:cs="TimesNewRomanPSMT"/>
          <w:color w:val="000000"/>
          <w:sz w:val="24"/>
          <w:szCs w:val="24"/>
          <w:highlight w:val="none"/>
        </w:rPr>
        <w:t>环境保护措施落实情况</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default" w:ascii="宋体" w:hAnsi="宋体" w:cs="Times New Roman"/>
          <w:color w:val="000000"/>
          <w:highlight w:val="none"/>
          <w:lang w:val="en-US" w:eastAsia="zh-CN"/>
        </w:rPr>
      </w:pPr>
      <w:r>
        <w:rPr>
          <w:rFonts w:hint="eastAsia" w:ascii="黑体" w:hAnsi="黑体" w:eastAsia="黑体" w:cs="TimesNewRomanPSMT"/>
          <w:b w:val="0"/>
          <w:bCs w:val="0"/>
          <w:color w:val="000000"/>
          <w:sz w:val="24"/>
          <w:szCs w:val="24"/>
          <w:highlight w:val="none"/>
        </w:rPr>
        <w:t>3.2.1</w:t>
      </w:r>
      <w:r>
        <w:rPr>
          <w:rFonts w:hint="eastAsia" w:ascii="黑体" w:hAnsi="黑体" w:eastAsia="黑体" w:cs="TimesNewRomanPSMT"/>
          <w:b w:val="0"/>
          <w:bCs w:val="0"/>
          <w:color w:val="000000"/>
          <w:sz w:val="24"/>
          <w:szCs w:val="24"/>
          <w:highlight w:val="none"/>
          <w:lang w:val="en-US" w:eastAsia="zh-CN"/>
        </w:rPr>
        <w:t xml:space="preserve"> </w:t>
      </w:r>
      <w:r>
        <w:rPr>
          <w:rFonts w:hint="eastAsia" w:cs="Times New Roman"/>
          <w:color w:val="000000"/>
          <w:highlight w:val="none"/>
          <w:lang w:val="en-US" w:eastAsia="zh-CN"/>
        </w:rPr>
        <w:t>施工期环境保护措施</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宋体" w:hAnsi="宋体" w:cs="Times New Roman"/>
          <w:color w:val="000000"/>
          <w:highlight w:val="none"/>
          <w:lang w:val="en-US" w:eastAsia="zh-CN"/>
        </w:rPr>
      </w:pPr>
      <w:r>
        <w:rPr>
          <w:rFonts w:hint="default" w:ascii="Times New Roman" w:hAnsi="Times New Roman" w:cs="Times New Roman"/>
          <w:color w:val="000000"/>
          <w:highlight w:val="none"/>
          <w:lang w:val="en-US" w:eastAsia="zh-CN"/>
        </w:rPr>
        <w:t>1）</w:t>
      </w:r>
      <w:r>
        <w:rPr>
          <w:rFonts w:hint="eastAsia" w:cs="Times New Roman"/>
          <w:color w:val="000000"/>
          <w:highlight w:val="none"/>
          <w:lang w:val="en-US" w:eastAsia="zh-CN"/>
        </w:rPr>
        <w:t>水环境</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宋体" w:hAnsi="宋体" w:cs="Times New Roman"/>
          <w:color w:val="000000"/>
          <w:highlight w:val="none"/>
          <w:lang w:val="en-US" w:eastAsia="zh-CN"/>
        </w:rPr>
      </w:pPr>
      <w:r>
        <w:rPr>
          <w:rFonts w:hint="default" w:ascii="Times New Roman" w:hAnsi="Times New Roman" w:cs="Times New Roman"/>
          <w:color w:val="000000"/>
          <w:highlight w:val="none"/>
          <w:lang w:val="en-US" w:eastAsia="zh-CN"/>
        </w:rPr>
        <w:t>钻井废水收集后由罐车拉运至埕东联废液处理站处理，然后进入埕东联合站采出水处理系统处理，处理满足《碎屑岩油藏注水水质指标及分析方法》（SY/T5329-2012）中推荐水质标准后回注地层，用于油田注水开发，未外排。施工作业废液、管道试压废水依托河口首站采出水处理系统处理，达标后回注地层，未外排；生活污水依托施工现场设置的环保厕所，集中处置，未外排。</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2）环境空气</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经调查，为防止施工扬尘对周围环境的影响，施工单位制定了合理化的管理制度，并在施工作业场地采取了控制施工作业面积、洒水降尘、遮盖土堆和建筑材料、施工现场设置围挡、大风天停止作业等措施；为降低施工废气对周围环境的影响，施工车辆使用了符合国VI标准的汽柴油，并加强了施工车辆和非道路移动机械的管理和维修保养，建设单位加强了监管，确保了污染物达标排放，并配合生态环境主管部门对非道路移动机械使用情况的监督检查，符合《山东省非道路移动机械污染排放管控工作方案》（鲁环发[2022]1号）、《东营市非道路移动机械污染排放管控工作方案》（东环发[2022]1号）要求。</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3）噪声</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本项目施工期已尽量选用低噪声施工设备，通过合理安排施工时序，避免了高噪声设备同时作业。</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4）固体废物</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本项目钻井固废采用“泥浆不落地”工艺，委托山东胜利中通工程有限公司综合利用；建筑垃圾及施工废料部分回收利用，剩余废料拉运至市政部门指定地点处置；生活垃圾集中收集后拉运至市政部门指定地点，由环卫部门统一处理；压裂废液收集后由罐车拉运至埕东联废液处理站处理，然后进入埕东联合站，经站内采出水处理系统处理，处理满足《碎屑岩油藏注水水质指标及分析方法》（SY/T5329-2012）中推荐水质标准后回注地层，用于油田注水开发，未外排</w:t>
      </w:r>
      <w:r>
        <w:rPr>
          <w:rFonts w:hint="default" w:ascii="Times New Roman" w:hAnsi="Times New Roman" w:cs="Times New Roman"/>
          <w:color w:val="000000"/>
          <w:highlight w:val="none"/>
          <w:lang w:val="en-US" w:eastAsia="zh-CN"/>
        </w:rPr>
        <w:t>。</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5）生态环境</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项目所在区域油气田设施众多，绝大部分土地为</w:t>
      </w:r>
      <w:r>
        <w:rPr>
          <w:rFonts w:hint="eastAsia" w:ascii="Times New Roman" w:hAnsi="Times New Roman" w:cs="Times New Roman"/>
          <w:color w:val="000000"/>
          <w:highlight w:val="none"/>
          <w:lang w:val="en-US" w:eastAsia="zh-CN"/>
        </w:rPr>
        <w:t>农田和荒草地</w:t>
      </w:r>
      <w:r>
        <w:rPr>
          <w:rFonts w:hint="default" w:ascii="Times New Roman" w:hAnsi="Times New Roman" w:cs="Times New Roman"/>
          <w:color w:val="000000"/>
          <w:highlight w:val="none"/>
          <w:lang w:val="en-US" w:eastAsia="zh-CN"/>
        </w:rPr>
        <w:t>，生物多样性程度偏低</w:t>
      </w:r>
      <w:r>
        <w:rPr>
          <w:rFonts w:hint="eastAsia" w:ascii="Times New Roman" w:hAnsi="Times New Roman" w:cs="Times New Roman"/>
          <w:color w:val="000000"/>
          <w:highlight w:val="none"/>
          <w:lang w:val="en-US" w:eastAsia="zh-CN"/>
        </w:rPr>
        <w:t>，生态评价范围内不涉及生态敏感区及保护物种，施工期采取生态环境保护措施主要有：</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 xml:space="preserve">（1）合理规划管线路线，严格控制施工车辆、机械及施工人员活动范围，尽可能缩小施工作业带宽度； </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 xml:space="preserve">（2）施工期分层开挖土采取拦挡、土工布遮盖等临时防护措施； </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（3）管线敷设时严格控制了施工作业带宽度；对于临时占地，严格按照分层剥离、分层开挖、分层堆放和循序分层回填的要求进行管沟开挖和土壤回填，并及时进行了原地貌和植被的恢复；</w:t>
      </w:r>
    </w:p>
    <w:p>
      <w:pPr>
        <w:pStyle w:val="21"/>
        <w:keepNext w:val="0"/>
        <w:keepLines w:val="0"/>
        <w:pageBreakBefore w:val="0"/>
        <w:kinsoku/>
        <w:wordWrap/>
        <w:overflowPunct/>
        <w:topLinePunct w:val="0"/>
        <w:bidi w:val="0"/>
        <w:adjustRightInd w:val="0"/>
        <w:snapToGrid w:val="0"/>
        <w:spacing w:line="440" w:lineRule="exact"/>
        <w:textAlignment w:val="auto"/>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 xml:space="preserve">（4）施工过程中产生的固体废物均得到了依法合规处置，不存在施工现场堆放现象，钻井固废采用了“泥浆不落地工艺”处理； </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（5）严格执行巡线管理制度，并提高巡线频次</w:t>
      </w:r>
      <w:r>
        <w:rPr>
          <w:rFonts w:hint="default" w:ascii="Times New Roman" w:hAnsi="Times New Roman" w:cs="Times New Roman"/>
          <w:color w:val="000000"/>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default" w:ascii="宋体" w:hAnsi="宋体" w:cs="Times New Roman"/>
          <w:color w:val="000000"/>
          <w:highlight w:val="none"/>
          <w:lang w:val="en-US" w:eastAsia="zh-CN"/>
        </w:rPr>
      </w:pPr>
      <w:r>
        <w:rPr>
          <w:rFonts w:hint="eastAsia" w:ascii="黑体" w:hAnsi="黑体" w:eastAsia="黑体" w:cs="TimesNewRomanPSMT"/>
          <w:b w:val="0"/>
          <w:bCs w:val="0"/>
          <w:color w:val="000000"/>
          <w:sz w:val="24"/>
          <w:szCs w:val="24"/>
          <w:highlight w:val="none"/>
        </w:rPr>
        <w:t>3.2.</w:t>
      </w:r>
      <w:r>
        <w:rPr>
          <w:rFonts w:hint="eastAsia" w:ascii="黑体" w:hAnsi="黑体" w:eastAsia="黑体" w:cs="TimesNewRomanPSMT"/>
          <w:b w:val="0"/>
          <w:bCs w:val="0"/>
          <w:color w:val="000000"/>
          <w:sz w:val="24"/>
          <w:szCs w:val="24"/>
          <w:highlight w:val="none"/>
          <w:lang w:val="en-US" w:eastAsia="zh-CN"/>
        </w:rPr>
        <w:t xml:space="preserve">2 </w:t>
      </w:r>
      <w:r>
        <w:rPr>
          <w:rFonts w:hint="eastAsia" w:cs="Times New Roman"/>
          <w:color w:val="000000"/>
          <w:highlight w:val="none"/>
          <w:lang w:val="en-US" w:eastAsia="zh-CN"/>
        </w:rPr>
        <w:t>保障环境保护设施有效运行的措施</w:t>
      </w:r>
    </w:p>
    <w:p>
      <w:pPr>
        <w:pStyle w:val="21"/>
        <w:keepNext w:val="0"/>
        <w:keepLines w:val="0"/>
        <w:pageBreakBefore w:val="0"/>
        <w:kinsoku/>
        <w:wordWrap/>
        <w:overflowPunct/>
        <w:topLinePunct w:val="0"/>
        <w:bidi w:val="0"/>
        <w:adjustRightInd w:val="0"/>
        <w:snapToGrid w:val="0"/>
        <w:spacing w:line="440" w:lineRule="exact"/>
        <w:textAlignment w:val="auto"/>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为保障环境保护设施的有效运行，</w:t>
      </w:r>
      <w:r>
        <w:rPr>
          <w:rFonts w:hint="default" w:ascii="Times New Roman" w:hAnsi="Times New Roman" w:cs="Times New Roman"/>
          <w:color w:val="000000"/>
          <w:highlight w:val="none"/>
          <w:lang w:val="en-US" w:eastAsia="zh-CN"/>
        </w:rPr>
        <w:t>建设单位</w:t>
      </w:r>
      <w:r>
        <w:rPr>
          <w:rFonts w:hint="eastAsia" w:ascii="Times New Roman" w:hAnsi="Times New Roman" w:cs="Times New Roman"/>
          <w:color w:val="000000"/>
          <w:highlight w:val="none"/>
          <w:lang w:val="en-US" w:eastAsia="zh-CN"/>
        </w:rPr>
        <w:t>制定了设备定期维护保养制度，以及设备定期维护保养计划，并安排专人定时进行巡检，确保环境保护设施稳定运行；同时，制定年度环境监测计划，确保达标排放</w:t>
      </w:r>
      <w:r>
        <w:rPr>
          <w:rFonts w:hint="default" w:ascii="Times New Roman" w:hAnsi="Times New Roman" w:cs="Times New Roman"/>
          <w:color w:val="000000"/>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eastAsia" w:ascii="黑体" w:hAnsi="黑体" w:eastAsia="黑体" w:cs="TimesNewRomanPSMT"/>
          <w:b w:val="0"/>
          <w:bCs w:val="0"/>
          <w:color w:val="000000"/>
          <w:sz w:val="24"/>
          <w:szCs w:val="24"/>
          <w:highlight w:val="none"/>
        </w:rPr>
      </w:pPr>
      <w:r>
        <w:rPr>
          <w:rFonts w:hint="eastAsia" w:ascii="黑体" w:hAnsi="黑体" w:eastAsia="黑体" w:cs="TimesNewRomanPSMT"/>
          <w:b w:val="0"/>
          <w:bCs w:val="0"/>
          <w:color w:val="000000"/>
          <w:sz w:val="24"/>
          <w:szCs w:val="24"/>
          <w:highlight w:val="none"/>
        </w:rPr>
        <w:t>3.2.3 生态系统功能恢复措施</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eastAsia"/>
          <w:color w:val="000000"/>
          <w:highlight w:val="none"/>
        </w:rPr>
      </w:pPr>
      <w:r>
        <w:rPr>
          <w:rFonts w:hint="default" w:ascii="Times New Roman" w:hAnsi="Times New Roman" w:cs="Times New Roman"/>
          <w:color w:val="000000"/>
          <w:highlight w:val="none"/>
          <w:lang w:eastAsia="zh-CN"/>
        </w:rPr>
        <w:t>本项目依托老井场建设，总占地面积27160m</w:t>
      </w:r>
      <w:r>
        <w:rPr>
          <w:rFonts w:hint="default" w:ascii="Times New Roman" w:hAnsi="Times New Roman" w:cs="Times New Roman"/>
          <w:color w:val="000000"/>
          <w:highlight w:val="none"/>
          <w:vertAlign w:val="superscript"/>
          <w:lang w:eastAsia="zh-CN"/>
        </w:rPr>
        <w:t>2</w:t>
      </w:r>
      <w:r>
        <w:rPr>
          <w:rFonts w:hint="default" w:ascii="Times New Roman" w:hAnsi="Times New Roman" w:cs="Times New Roman"/>
          <w:color w:val="000000"/>
          <w:highlight w:val="none"/>
          <w:lang w:eastAsia="zh-CN"/>
        </w:rPr>
        <w:t>，其中井场扩建新增永久占地面积2200</w:t>
      </w:r>
      <w:r>
        <w:rPr>
          <w:rFonts w:hint="default" w:ascii="Times New Roman" w:hAnsi="Times New Roman" w:cs="Times New Roman"/>
          <w:color w:val="000000"/>
          <w:highlight w:val="none"/>
          <w:vertAlign w:val="baseline"/>
          <w:lang w:eastAsia="zh-CN"/>
        </w:rPr>
        <w:t>m</w:t>
      </w:r>
      <w:r>
        <w:rPr>
          <w:rFonts w:hint="default" w:ascii="Times New Roman" w:hAnsi="Times New Roman" w:cs="Times New Roman"/>
          <w:color w:val="000000"/>
          <w:highlight w:val="none"/>
          <w:vertAlign w:val="superscript"/>
          <w:lang w:eastAsia="zh-CN"/>
        </w:rPr>
        <w:t>2</w:t>
      </w:r>
      <w:r>
        <w:rPr>
          <w:rFonts w:hint="default" w:ascii="Times New Roman" w:hAnsi="Times New Roman" w:cs="Times New Roman"/>
          <w:color w:val="000000"/>
          <w:highlight w:val="none"/>
          <w:lang w:eastAsia="zh-CN"/>
        </w:rPr>
        <w:t>，管线敷设及井场施工临时占地面积24960m</w:t>
      </w:r>
      <w:r>
        <w:rPr>
          <w:rFonts w:hint="default" w:ascii="Times New Roman" w:hAnsi="Times New Roman" w:cs="Times New Roman"/>
          <w:color w:val="000000"/>
          <w:highlight w:val="none"/>
          <w:vertAlign w:val="superscript"/>
          <w:lang w:eastAsia="zh-CN"/>
        </w:rPr>
        <w:t>2</w:t>
      </w:r>
      <w:r>
        <w:rPr>
          <w:rFonts w:hint="default" w:ascii="Times New Roman" w:hAnsi="Times New Roman" w:cs="Times New Roman"/>
          <w:color w:val="000000"/>
          <w:highlight w:val="none"/>
          <w:lang w:eastAsia="zh-CN"/>
        </w:rPr>
        <w:t>，占地类型主要为农田和荒草地。</w:t>
      </w:r>
      <w:r>
        <w:rPr>
          <w:rFonts w:hint="eastAsia"/>
          <w:color w:val="000000"/>
          <w:highlight w:val="none"/>
          <w:lang w:val="en-US" w:eastAsia="zh-CN"/>
        </w:rPr>
        <w:t>不涉及林地和生态敏感区的占用。管线敷设时</w:t>
      </w:r>
      <w:r>
        <w:rPr>
          <w:rFonts w:hint="eastAsia"/>
          <w:color w:val="000000"/>
          <w:highlight w:val="none"/>
          <w:lang w:eastAsia="zh-CN"/>
        </w:rPr>
        <w:t>熟土（表层）和生土（下层土）分开堆放，管沟回填按生、熟土顺序填放，回填后管沟上方留有自然沉降余量</w:t>
      </w:r>
      <w:r>
        <w:rPr>
          <w:rFonts w:hint="default" w:ascii="Times New Roman" w:hAnsi="Times New Roman" w:cs="Times New Roman"/>
          <w:color w:val="000000"/>
          <w:highlight w:val="none"/>
          <w:lang w:eastAsia="zh-CN"/>
        </w:rPr>
        <w:t>（高出地面0.3m）</w:t>
      </w:r>
      <w:r>
        <w:rPr>
          <w:rFonts w:hint="eastAsia"/>
          <w:color w:val="000000"/>
          <w:highlight w:val="none"/>
          <w:lang w:eastAsia="zh-CN"/>
        </w:rPr>
        <w:t>，多余土方就近平整。</w:t>
      </w:r>
      <w:r>
        <w:rPr>
          <w:rFonts w:hint="eastAsia"/>
          <w:color w:val="000000"/>
          <w:highlight w:val="none"/>
          <w:lang w:val="en-US" w:eastAsia="zh-CN"/>
        </w:rPr>
        <w:t>施工完成后采取了土地复垦及播撒草籽等植被恢复措施，验收调查期间，原地貌植被已基本恢复</w:t>
      </w:r>
      <w:r>
        <w:rPr>
          <w:rFonts w:hint="eastAsia"/>
          <w:color w:val="000000"/>
          <w:highlight w:val="none"/>
          <w:lang w:eastAsia="zh-CN"/>
        </w:rPr>
        <w:t>。</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hint="eastAsia" w:ascii="黑体" w:hAnsi="黑体" w:eastAsia="黑体" w:cs="TimesNewRomanPSMT"/>
          <w:b w:val="0"/>
          <w:bCs w:val="0"/>
          <w:color w:val="000000"/>
          <w:sz w:val="24"/>
          <w:szCs w:val="24"/>
          <w:highlight w:val="none"/>
        </w:rPr>
      </w:pPr>
      <w:r>
        <w:rPr>
          <w:rFonts w:hint="eastAsia" w:ascii="黑体" w:hAnsi="黑体" w:eastAsia="黑体" w:cs="TimesNewRomanPSMT"/>
          <w:b w:val="0"/>
          <w:bCs w:val="0"/>
          <w:color w:val="000000"/>
          <w:sz w:val="24"/>
          <w:szCs w:val="24"/>
          <w:highlight w:val="none"/>
        </w:rPr>
        <w:t>3.2.4 生物多样性保护措施</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eastAsia"/>
          <w:color w:val="000000"/>
          <w:highlight w:val="none"/>
        </w:rPr>
      </w:pPr>
      <w:r>
        <w:rPr>
          <w:rFonts w:hint="eastAsia"/>
          <w:color w:val="000000"/>
          <w:highlight w:val="none"/>
          <w:lang w:val="en-US" w:eastAsia="zh-CN"/>
        </w:rPr>
        <w:t>本项目生态影响不涉及保护性物种，施工期采取了</w:t>
      </w:r>
      <w:r>
        <w:rPr>
          <w:color w:val="000000"/>
          <w:highlight w:val="none"/>
        </w:rPr>
        <w:t>严格控制施工作业带</w:t>
      </w:r>
      <w:r>
        <w:rPr>
          <w:rFonts w:hint="eastAsia"/>
          <w:color w:val="000000"/>
          <w:highlight w:val="none"/>
          <w:lang w:val="en-US" w:eastAsia="zh-CN"/>
        </w:rPr>
        <w:t>范围</w:t>
      </w:r>
      <w:r>
        <w:rPr>
          <w:color w:val="000000"/>
          <w:highlight w:val="none"/>
        </w:rPr>
        <w:t>，减少</w:t>
      </w:r>
      <w:r>
        <w:rPr>
          <w:rFonts w:hint="eastAsia"/>
          <w:color w:val="000000"/>
          <w:highlight w:val="none"/>
        </w:rPr>
        <w:t>对</w:t>
      </w:r>
      <w:r>
        <w:rPr>
          <w:color w:val="000000"/>
          <w:highlight w:val="none"/>
        </w:rPr>
        <w:t>地表植被的破坏</w:t>
      </w:r>
      <w:r>
        <w:rPr>
          <w:rFonts w:hint="eastAsia"/>
          <w:color w:val="000000"/>
          <w:highlight w:val="none"/>
        </w:rPr>
        <w:t>，</w:t>
      </w:r>
      <w:r>
        <w:rPr>
          <w:color w:val="000000"/>
          <w:highlight w:val="none"/>
        </w:rPr>
        <w:t>且施工结束后及时恢复</w:t>
      </w:r>
      <w:r>
        <w:rPr>
          <w:rFonts w:hint="eastAsia"/>
          <w:color w:val="000000"/>
          <w:highlight w:val="none"/>
          <w:lang w:val="en-US" w:eastAsia="zh-CN"/>
        </w:rPr>
        <w:t>了</w:t>
      </w:r>
      <w:r>
        <w:rPr>
          <w:color w:val="000000"/>
          <w:highlight w:val="none"/>
        </w:rPr>
        <w:t>地表植被</w:t>
      </w:r>
      <w:r>
        <w:rPr>
          <w:rFonts w:hint="eastAsia"/>
          <w:color w:val="000000"/>
          <w:highlight w:val="none"/>
          <w:lang w:eastAsia="zh-CN"/>
        </w:rPr>
        <w:t>；</w:t>
      </w:r>
      <w:r>
        <w:rPr>
          <w:rFonts w:hint="eastAsia"/>
          <w:color w:val="000000"/>
          <w:highlight w:val="none"/>
          <w:lang w:val="en-US" w:eastAsia="zh-CN"/>
        </w:rPr>
        <w:t>通过</w:t>
      </w:r>
      <w:r>
        <w:rPr>
          <w:rFonts w:hint="eastAsia"/>
          <w:color w:val="000000"/>
          <w:highlight w:val="none"/>
        </w:rPr>
        <w:t>加快</w:t>
      </w:r>
      <w:r>
        <w:rPr>
          <w:color w:val="000000"/>
          <w:highlight w:val="none"/>
        </w:rPr>
        <w:t>施工进度，缩短施工</w:t>
      </w:r>
      <w:r>
        <w:rPr>
          <w:rFonts w:hint="eastAsia"/>
          <w:color w:val="000000"/>
          <w:highlight w:val="none"/>
          <w:lang w:val="en-US" w:eastAsia="zh-CN"/>
        </w:rPr>
        <w:t>周</w:t>
      </w:r>
      <w:r>
        <w:rPr>
          <w:color w:val="000000"/>
          <w:highlight w:val="none"/>
        </w:rPr>
        <w:t>期，</w:t>
      </w:r>
      <w:r>
        <w:rPr>
          <w:rFonts w:hint="eastAsia"/>
          <w:color w:val="000000"/>
          <w:highlight w:val="none"/>
          <w:lang w:val="en-US" w:eastAsia="zh-CN"/>
        </w:rPr>
        <w:t>进一步</w:t>
      </w:r>
      <w:r>
        <w:rPr>
          <w:color w:val="000000"/>
          <w:highlight w:val="none"/>
        </w:rPr>
        <w:t>减轻</w:t>
      </w:r>
      <w:r>
        <w:rPr>
          <w:rFonts w:hint="eastAsia"/>
          <w:color w:val="000000"/>
          <w:highlight w:val="none"/>
          <w:lang w:val="en-US" w:eastAsia="zh-CN"/>
        </w:rPr>
        <w:t>了</w:t>
      </w:r>
      <w:r>
        <w:rPr>
          <w:color w:val="000000"/>
          <w:highlight w:val="none"/>
        </w:rPr>
        <w:t>施工活动对</w:t>
      </w:r>
      <w:r>
        <w:rPr>
          <w:rFonts w:hint="eastAsia"/>
          <w:color w:val="000000"/>
          <w:highlight w:val="none"/>
        </w:rPr>
        <w:t>区域野生动物的影响。</w:t>
      </w:r>
    </w:p>
    <w:p>
      <w:pPr>
        <w:keepNext w:val="0"/>
        <w:keepLines w:val="0"/>
        <w:pageBreakBefore w:val="0"/>
        <w:kinsoku/>
        <w:wordWrap/>
        <w:overflowPunct/>
        <w:topLinePunct w:val="0"/>
        <w:autoSpaceDE w:val="0"/>
        <w:autoSpaceDN w:val="0"/>
        <w:bidi w:val="0"/>
        <w:adjustRightInd w:val="0"/>
        <w:snapToGrid w:val="0"/>
        <w:spacing w:before="60" w:after="60" w:line="440" w:lineRule="exact"/>
        <w:textAlignment w:val="auto"/>
        <w:outlineLvl w:val="1"/>
        <w:rPr>
          <w:rFonts w:ascii="黑体" w:hAnsi="黑体" w:eastAsia="黑体" w:cs="TimesNewRomanPSMT"/>
          <w:color w:val="000000"/>
          <w:sz w:val="24"/>
          <w:szCs w:val="24"/>
          <w:highlight w:val="none"/>
        </w:rPr>
      </w:pPr>
      <w:r>
        <w:rPr>
          <w:rFonts w:ascii="黑体" w:hAnsi="黑体" w:eastAsia="黑体" w:cs="TimesNewRomanPSMT"/>
          <w:color w:val="000000"/>
          <w:sz w:val="24"/>
          <w:szCs w:val="24"/>
          <w:highlight w:val="none"/>
        </w:rPr>
        <w:t xml:space="preserve">3.3 </w:t>
      </w:r>
      <w:r>
        <w:rPr>
          <w:rFonts w:hint="eastAsia" w:ascii="黑体" w:hAnsi="黑体" w:eastAsia="黑体" w:cs="TimesNewRomanPSMT"/>
          <w:color w:val="000000"/>
          <w:sz w:val="24"/>
          <w:szCs w:val="24"/>
          <w:highlight w:val="none"/>
        </w:rPr>
        <w:t>配套措施</w:t>
      </w:r>
      <w:r>
        <w:rPr>
          <w:rFonts w:ascii="黑体" w:hAnsi="黑体" w:eastAsia="黑体" w:cs="TimesNewRomanPSMT"/>
          <w:color w:val="000000"/>
          <w:sz w:val="24"/>
          <w:szCs w:val="24"/>
          <w:highlight w:val="none"/>
        </w:rPr>
        <w:t>落实情况</w:t>
      </w:r>
    </w:p>
    <w:p>
      <w:pPr>
        <w:keepNext w:val="0"/>
        <w:keepLines w:val="0"/>
        <w:pageBreakBefore w:val="0"/>
        <w:kinsoku/>
        <w:wordWrap/>
        <w:overflowPunct/>
        <w:topLinePunct w:val="0"/>
        <w:autoSpaceDE w:val="0"/>
        <w:autoSpaceDN w:val="0"/>
        <w:bidi w:val="0"/>
        <w:adjustRightInd w:val="0"/>
        <w:snapToGrid w:val="0"/>
        <w:spacing w:before="60" w:after="60" w:line="440" w:lineRule="exact"/>
        <w:ind w:firstLine="482"/>
        <w:textAlignment w:val="auto"/>
        <w:outlineLvl w:val="2"/>
        <w:rPr>
          <w:rFonts w:hint="eastAsia" w:ascii="宋体" w:hAnsi="宋体" w:eastAsia="宋体" w:cs="宋体"/>
          <w:b/>
          <w:bCs w:val="0"/>
          <w:color w:val="000000"/>
          <w:szCs w:val="24"/>
          <w:highlight w:val="none"/>
        </w:rPr>
      </w:pPr>
      <w:r>
        <w:rPr>
          <w:rFonts w:hint="eastAsia" w:ascii="宋体" w:hAnsi="宋体" w:eastAsia="宋体" w:cs="宋体"/>
          <w:b/>
          <w:bCs w:val="0"/>
          <w:color w:val="000000"/>
          <w:szCs w:val="24"/>
          <w:highlight w:val="none"/>
        </w:rPr>
        <w:t>3.3.1 区域消减及淘汰落后产能</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eastAsia"/>
          <w:color w:val="000000"/>
          <w:highlight w:val="none"/>
        </w:rPr>
      </w:pPr>
      <w:r>
        <w:rPr>
          <w:rFonts w:hint="eastAsia"/>
          <w:color w:val="000000"/>
          <w:highlight w:val="none"/>
        </w:rPr>
        <w:t>本项目不涉及</w:t>
      </w:r>
      <w:r>
        <w:rPr>
          <w:color w:val="000000"/>
          <w:highlight w:val="none"/>
        </w:rPr>
        <w:t>。</w:t>
      </w:r>
    </w:p>
    <w:p>
      <w:pPr>
        <w:keepNext w:val="0"/>
        <w:keepLines w:val="0"/>
        <w:pageBreakBefore w:val="0"/>
        <w:kinsoku/>
        <w:wordWrap/>
        <w:overflowPunct/>
        <w:topLinePunct w:val="0"/>
        <w:autoSpaceDE w:val="0"/>
        <w:autoSpaceDN w:val="0"/>
        <w:bidi w:val="0"/>
        <w:adjustRightInd w:val="0"/>
        <w:snapToGrid w:val="0"/>
        <w:spacing w:before="60" w:after="60" w:line="440" w:lineRule="exact"/>
        <w:ind w:firstLine="482"/>
        <w:textAlignment w:val="auto"/>
        <w:outlineLvl w:val="2"/>
        <w:rPr>
          <w:rFonts w:hint="eastAsia" w:ascii="宋体" w:hAnsi="宋体" w:eastAsia="宋体" w:cs="宋体"/>
          <w:b/>
          <w:bCs w:val="0"/>
          <w:color w:val="000000"/>
          <w:szCs w:val="24"/>
          <w:highlight w:val="none"/>
        </w:rPr>
      </w:pPr>
      <w:r>
        <w:rPr>
          <w:rFonts w:hint="eastAsia" w:ascii="宋体" w:hAnsi="宋体" w:eastAsia="宋体" w:cs="宋体"/>
          <w:b/>
          <w:bCs w:val="0"/>
          <w:color w:val="000000"/>
          <w:szCs w:val="24"/>
          <w:highlight w:val="none"/>
        </w:rPr>
        <w:t>3.3.2 防护距离控制及居民搬迁</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eastAsia"/>
          <w:color w:val="000000"/>
          <w:highlight w:val="none"/>
        </w:rPr>
      </w:pPr>
      <w:r>
        <w:rPr>
          <w:rFonts w:hint="eastAsia"/>
          <w:color w:val="000000"/>
          <w:highlight w:val="none"/>
        </w:rPr>
        <w:t>本项目不涉及</w:t>
      </w:r>
      <w:r>
        <w:rPr>
          <w:color w:val="000000"/>
          <w:highlight w:val="none"/>
        </w:rPr>
        <w:t>。</w:t>
      </w:r>
    </w:p>
    <w:p>
      <w:pPr>
        <w:keepNext w:val="0"/>
        <w:keepLines w:val="0"/>
        <w:pageBreakBefore w:val="0"/>
        <w:kinsoku/>
        <w:wordWrap/>
        <w:overflowPunct/>
        <w:topLinePunct w:val="0"/>
        <w:autoSpaceDE w:val="0"/>
        <w:autoSpaceDN w:val="0"/>
        <w:bidi w:val="0"/>
        <w:adjustRightInd w:val="0"/>
        <w:snapToGrid w:val="0"/>
        <w:spacing w:before="60" w:after="60" w:line="440" w:lineRule="exact"/>
        <w:ind w:firstLine="482"/>
        <w:textAlignment w:val="auto"/>
        <w:outlineLvl w:val="2"/>
        <w:rPr>
          <w:rFonts w:hint="eastAsia" w:ascii="宋体" w:hAnsi="宋体" w:eastAsia="宋体" w:cs="宋体"/>
          <w:b/>
          <w:bCs w:val="0"/>
          <w:color w:val="000000"/>
          <w:szCs w:val="24"/>
          <w:highlight w:val="none"/>
        </w:rPr>
      </w:pPr>
      <w:r>
        <w:rPr>
          <w:rFonts w:hint="eastAsia" w:ascii="宋体" w:hAnsi="宋体" w:eastAsia="宋体" w:cs="宋体"/>
          <w:b/>
          <w:bCs w:val="0"/>
          <w:color w:val="000000"/>
          <w:szCs w:val="24"/>
          <w:highlight w:val="none"/>
        </w:rPr>
        <w:t>3.3.3 其他措施</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eastAsia"/>
          <w:color w:val="000000"/>
          <w:highlight w:val="none"/>
        </w:rPr>
      </w:pPr>
      <w:r>
        <w:rPr>
          <w:rFonts w:hint="eastAsia"/>
          <w:color w:val="000000"/>
          <w:highlight w:val="none"/>
        </w:rPr>
        <w:t>本项目不涉及区域环境整治、相关外围工程建设等措施。</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textAlignment w:val="auto"/>
        <w:outlineLvl w:val="0"/>
        <w:rPr>
          <w:rFonts w:hint="eastAsia" w:ascii="黑体" w:hAnsi="黑体" w:eastAsia="黑体" w:cs="TimesNewRomanPSMT"/>
          <w:color w:val="000000"/>
          <w:sz w:val="28"/>
          <w:szCs w:val="28"/>
          <w:highlight w:val="none"/>
        </w:rPr>
      </w:pPr>
      <w:r>
        <w:rPr>
          <w:rFonts w:hint="eastAsia" w:ascii="黑体" w:hAnsi="黑体" w:eastAsia="黑体" w:cs="TimesNewRomanPSMT"/>
          <w:color w:val="000000"/>
          <w:sz w:val="28"/>
          <w:szCs w:val="28"/>
          <w:highlight w:val="none"/>
        </w:rPr>
        <w:t>4 整改工作情况</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32" w:lineRule="auto"/>
        <w:ind w:firstLine="480" w:firstLineChars="200"/>
        <w:jc w:val="both"/>
        <w:textAlignment w:val="auto"/>
        <w:outlineLvl w:val="0"/>
        <w:rPr>
          <w:rFonts w:hint="eastAsia" w:ascii="Times New Roman" w:hAnsi="Times New Roman" w:eastAsia="宋体" w:cs="Times New Roman"/>
          <w:b w:val="0"/>
          <w:bCs/>
          <w:snapToGrid w:val="0"/>
          <w:color w:val="auto"/>
          <w:kern w:val="2"/>
          <w:sz w:val="24"/>
          <w:szCs w:val="24"/>
          <w:highlight w:val="yellow"/>
          <w:lang w:val="en-US" w:eastAsia="zh-CN"/>
        </w:rPr>
      </w:pPr>
      <w:r>
        <w:rPr>
          <w:rFonts w:hint="eastAsia" w:ascii="Times New Roman" w:hAnsi="Times New Roman" w:eastAsia="宋体" w:cs="Times New Roman"/>
          <w:b w:val="0"/>
          <w:bCs/>
          <w:snapToGrid w:val="0"/>
          <w:color w:val="auto"/>
          <w:kern w:val="2"/>
          <w:sz w:val="24"/>
          <w:szCs w:val="24"/>
          <w:highlight w:val="yellow"/>
          <w:lang w:val="en-US" w:eastAsia="zh-CN"/>
        </w:rPr>
        <w:t>1）核实网电钻机的使用情况；</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32" w:lineRule="auto"/>
        <w:ind w:firstLine="480" w:firstLineChars="200"/>
        <w:jc w:val="both"/>
        <w:textAlignment w:val="auto"/>
        <w:outlineLvl w:val="0"/>
        <w:rPr>
          <w:rFonts w:hint="eastAsia" w:ascii="Times New Roman" w:hAnsi="Times New Roman" w:eastAsia="宋体" w:cs="Times New Roman"/>
          <w:b w:val="0"/>
          <w:bCs/>
          <w:snapToGrid w:val="0"/>
          <w:color w:val="auto"/>
          <w:kern w:val="2"/>
          <w:sz w:val="24"/>
          <w:szCs w:val="24"/>
          <w:highlight w:val="yellow"/>
          <w:lang w:val="en-US" w:eastAsia="zh-CN"/>
        </w:rPr>
      </w:pPr>
      <w:r>
        <w:rPr>
          <w:rFonts w:hint="eastAsia" w:ascii="Times New Roman" w:hAnsi="Times New Roman" w:eastAsia="宋体" w:cs="Times New Roman"/>
          <w:b w:val="0"/>
          <w:bCs/>
          <w:snapToGrid w:val="0"/>
          <w:color w:val="auto"/>
          <w:kern w:val="2"/>
          <w:sz w:val="24"/>
          <w:szCs w:val="24"/>
          <w:highlight w:val="yellow"/>
          <w:lang w:val="en-US" w:eastAsia="zh-CN"/>
        </w:rPr>
        <w:t>2）</w:t>
      </w:r>
      <w:bookmarkStart w:id="0" w:name="_GoBack"/>
      <w:bookmarkEnd w:id="0"/>
      <w:r>
        <w:rPr>
          <w:rFonts w:hint="eastAsia" w:ascii="Times New Roman" w:hAnsi="Times New Roman" w:eastAsia="宋体" w:cs="Times New Roman"/>
          <w:b w:val="0"/>
          <w:bCs/>
          <w:snapToGrid w:val="0"/>
          <w:color w:val="auto"/>
          <w:kern w:val="2"/>
          <w:sz w:val="24"/>
          <w:szCs w:val="24"/>
          <w:highlight w:val="yellow"/>
          <w:lang w:val="en-US" w:eastAsia="zh-CN"/>
        </w:rPr>
        <w:t>补充吸油毡等环保应急物资的调查。</w:t>
      </w:r>
    </w:p>
    <w:p>
      <w:pPr>
        <w:keepNext w:val="0"/>
        <w:keepLines w:val="0"/>
        <w:pageBreakBefore w:val="0"/>
        <w:widowControl/>
        <w:shd w:val="clear" w:color="auto" w:fill="FFFFFF"/>
        <w:kinsoku/>
        <w:wordWrap/>
        <w:overflowPunct/>
        <w:topLinePunct w:val="0"/>
        <w:autoSpaceDE/>
        <w:autoSpaceDN/>
        <w:bidi w:val="0"/>
        <w:adjustRightInd w:val="0"/>
        <w:snapToGrid w:val="0"/>
        <w:spacing w:after="0" w:line="332" w:lineRule="auto"/>
        <w:ind w:firstLine="480" w:firstLineChars="200"/>
        <w:jc w:val="both"/>
        <w:textAlignment w:val="auto"/>
        <w:outlineLvl w:val="0"/>
        <w:rPr>
          <w:rFonts w:hint="default" w:ascii="Times New Roman" w:hAnsi="Times New Roman" w:eastAsia="宋体" w:cs="Times New Roman"/>
          <w:b w:val="0"/>
          <w:bCs/>
          <w:snapToGrid w:val="0"/>
          <w:color w:val="auto"/>
          <w:kern w:val="2"/>
          <w:sz w:val="24"/>
          <w:szCs w:val="24"/>
          <w:highlight w:val="yellow"/>
          <w:lang w:val="en-US" w:eastAsia="zh-CN"/>
        </w:rPr>
      </w:pPr>
      <w:r>
        <w:rPr>
          <w:rFonts w:hint="eastAsia" w:ascii="Times New Roman" w:hAnsi="Times New Roman" w:eastAsia="宋体" w:cs="Times New Roman"/>
          <w:b w:val="0"/>
          <w:bCs/>
          <w:snapToGrid w:val="0"/>
          <w:color w:val="auto"/>
          <w:kern w:val="2"/>
          <w:sz w:val="24"/>
          <w:szCs w:val="24"/>
          <w:highlight w:val="yellow"/>
          <w:lang w:val="en-US" w:eastAsia="zh-CN"/>
        </w:rPr>
        <w:t>3、补充回注水水质监测情况，明确生活污水的处置方式及处置去向。</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textAlignment w:val="auto"/>
        <w:outlineLvl w:val="0"/>
        <w:rPr>
          <w:rFonts w:hint="eastAsia" w:ascii="黑体" w:hAnsi="黑体" w:eastAsia="黑体" w:cs="TimesNewRomanPSMT"/>
          <w:color w:val="000000"/>
          <w:sz w:val="28"/>
          <w:szCs w:val="28"/>
          <w:highlight w:val="none"/>
          <w:lang w:eastAsia="zh-CN"/>
        </w:rPr>
      </w:pPr>
      <w:r>
        <w:rPr>
          <w:rFonts w:hint="eastAsia" w:ascii="黑体" w:hAnsi="黑体" w:eastAsia="黑体" w:cs="TimesNewRomanPSMT"/>
          <w:color w:val="000000"/>
          <w:sz w:val="28"/>
          <w:szCs w:val="28"/>
          <w:highlight w:val="none"/>
          <w:lang w:val="en-US" w:eastAsia="zh-CN"/>
        </w:rPr>
        <w:t>5</w:t>
      </w:r>
      <w:r>
        <w:rPr>
          <w:rFonts w:hint="eastAsia" w:ascii="黑体" w:hAnsi="黑体" w:eastAsia="黑体" w:cs="TimesNewRomanPSMT"/>
          <w:color w:val="000000"/>
          <w:sz w:val="28"/>
          <w:szCs w:val="28"/>
          <w:highlight w:val="none"/>
        </w:rPr>
        <w:t xml:space="preserve"> </w:t>
      </w:r>
      <w:r>
        <w:rPr>
          <w:rFonts w:hint="eastAsia" w:ascii="黑体" w:hAnsi="黑体" w:eastAsia="黑体" w:cs="TimesNewRomanPSMT"/>
          <w:color w:val="000000"/>
          <w:sz w:val="28"/>
          <w:szCs w:val="28"/>
          <w:highlight w:val="none"/>
          <w:lang w:eastAsia="zh-CN"/>
        </w:rPr>
        <w:t>建议</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1）加强职工管理和培训，保证各项环保设施的正常运行。</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2）加强管线及各项污染防治设施的定期检修、维护和巡查工作，发现情况及时处理，最大限度的减少经济损失和环境污染。 </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3）委托有资质的单位定期对管道进行腐蚀检测，降低腐蚀穿孔几率。</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4）经常对职工进行爱岗教育，使职工安心本职工作，遵守劳动纪律，避免因责任心不强、操作中疏忽大意、擅离职守等原因造成的事故。 </w:t>
      </w:r>
    </w:p>
    <w:p>
      <w:pPr>
        <w:pStyle w:val="8"/>
        <w:keepNext w:val="0"/>
        <w:keepLines w:val="0"/>
        <w:pageBreakBefore w:val="0"/>
        <w:kinsoku/>
        <w:wordWrap/>
        <w:overflowPunct/>
        <w:topLinePunct w:val="0"/>
        <w:bidi w:val="0"/>
        <w:adjustRightInd w:val="0"/>
        <w:snapToGrid w:val="0"/>
        <w:spacing w:line="440" w:lineRule="exact"/>
        <w:ind w:firstLine="480"/>
        <w:textAlignment w:val="auto"/>
        <w:rPr>
          <w:rFonts w:hint="default" w:ascii="Times New Roman" w:hAnsi="Times New Roman" w:cs="Times New Roman"/>
          <w:color w:val="000000"/>
          <w:highlight w:val="yellow"/>
        </w:rPr>
      </w:pPr>
      <w:r>
        <w:rPr>
          <w:rFonts w:hint="default" w:ascii="Times New Roman" w:hAnsi="Times New Roman" w:eastAsia="宋体" w:cs="Times New Roman"/>
          <w:color w:val="000000" w:themeColor="text1"/>
          <w14:textFill>
            <w14:solidFill>
              <w14:schemeClr w14:val="tx1"/>
            </w14:solidFill>
          </w14:textFill>
        </w:rPr>
        <w:t>5）进一步加强环境管理工作，继续健全和完善各类环保规章制度、QHSSE管理体系和有关应急预案，并按照应急预案要求，定期进行演练，从而不断提高污染防治和环境风险防范水平，确保项目环境安全。</w:t>
      </w:r>
    </w:p>
    <w:p>
      <w:pPr>
        <w:keepNext w:val="0"/>
        <w:keepLines w:val="0"/>
        <w:pageBreakBefore w:val="0"/>
        <w:kinsoku/>
        <w:wordWrap/>
        <w:overflowPunct/>
        <w:topLinePunct w:val="0"/>
        <w:bidi w:val="0"/>
        <w:adjustRightInd w:val="0"/>
        <w:snapToGrid w:val="0"/>
        <w:spacing w:line="440" w:lineRule="exact"/>
        <w:textAlignment w:val="auto"/>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9548E"/>
    <w:multiLevelType w:val="multilevel"/>
    <w:tmpl w:val="5839548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7"/>
      <w:suff w:val="space"/>
      <w:lvlText w:val="%1.%2.%3"/>
      <w:lvlJc w:val="left"/>
      <w:pPr>
        <w:ind w:left="3261" w:firstLine="0"/>
      </w:pPr>
      <w:rPr>
        <w:rFonts w:hint="eastAsia"/>
      </w:rPr>
    </w:lvl>
    <w:lvl w:ilvl="3" w:tentative="0">
      <w:start w:val="1"/>
      <w:numFmt w:val="decimal"/>
      <w:pStyle w:val="9"/>
      <w:suff w:val="space"/>
      <w:lvlText w:val="%1.%2.%3.%4"/>
      <w:lvlJc w:val="left"/>
      <w:pPr>
        <w:ind w:left="840" w:firstLine="0"/>
      </w:pPr>
      <w:rPr>
        <w:rFonts w:hint="eastAsia"/>
      </w:rPr>
    </w:lvl>
    <w:lvl w:ilvl="4" w:tentative="0">
      <w:start w:val="1"/>
      <w:numFmt w:val="decimal"/>
      <w:lvlText w:val="（%5）"/>
      <w:lvlJc w:val="left"/>
      <w:pPr>
        <w:ind w:left="1647" w:hanging="1080"/>
      </w:pPr>
      <w:rPr>
        <w:rFonts w:hint="default"/>
      </w:rPr>
    </w:lvl>
    <w:lvl w:ilvl="5" w:tentative="0">
      <w:start w:val="1"/>
      <w:numFmt w:val="decimal"/>
      <w:suff w:val="nothing"/>
      <w:lvlText w:val="（%6）"/>
      <w:lvlJc w:val="left"/>
      <w:pPr>
        <w:ind w:left="0" w:firstLine="420"/>
      </w:pPr>
      <w:rPr>
        <w:rFonts w:hint="eastAsia"/>
      </w:rPr>
    </w:lvl>
    <w:lvl w:ilvl="6" w:tentative="0">
      <w:start w:val="1"/>
      <w:numFmt w:val="decimalEnclosedCircle"/>
      <w:suff w:val="nothing"/>
      <w:lvlText w:val="%7"/>
      <w:lvlJc w:val="left"/>
      <w:pPr>
        <w:ind w:left="0" w:firstLine="400"/>
      </w:pPr>
      <w:rPr>
        <w:rFonts w:hint="eastAsia"/>
        <w:b w:val="0"/>
        <w:bCs w:val="0"/>
        <w:i w:val="0"/>
        <w:iCs w:val="0"/>
        <w:caps w:val="0"/>
        <w:smallCaps w:val="0"/>
        <w:strike w:val="0"/>
        <w:dstrike w:val="0"/>
        <w:color w:val="000000"/>
        <w:spacing w:val="0"/>
        <w:position w:val="0"/>
        <w:u w:val="none"/>
      </w:rPr>
    </w:lvl>
    <w:lvl w:ilvl="7" w:tentative="0">
      <w:start w:val="1"/>
      <w:numFmt w:val="lowerLetter"/>
      <w:suff w:val="nothing"/>
      <w:lvlText w:val="%8."/>
      <w:lvlJc w:val="left"/>
      <w:pPr>
        <w:ind w:left="0" w:firstLine="400"/>
      </w:pPr>
      <w:rPr>
        <w:rFonts w:hint="eastAsia"/>
      </w:rPr>
    </w:lvl>
    <w:lvl w:ilvl="8" w:tentative="0">
      <w:start w:val="1"/>
      <w:numFmt w:val="lowerRoman"/>
      <w:suff w:val="nothing"/>
      <w:lvlText w:val="%9."/>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jgxZTI0NDZiNjYwOWI5MTBjZjgyNTEwMmFkZmQifQ=="/>
  </w:docVars>
  <w:rsids>
    <w:rsidRoot w:val="00D31D50"/>
    <w:rsid w:val="000800E3"/>
    <w:rsid w:val="000D531C"/>
    <w:rsid w:val="00217F45"/>
    <w:rsid w:val="0022627E"/>
    <w:rsid w:val="002F4F6B"/>
    <w:rsid w:val="00323B43"/>
    <w:rsid w:val="003D37D8"/>
    <w:rsid w:val="00423294"/>
    <w:rsid w:val="00426133"/>
    <w:rsid w:val="004358AB"/>
    <w:rsid w:val="008B7726"/>
    <w:rsid w:val="00D31D50"/>
    <w:rsid w:val="00EF6CAB"/>
    <w:rsid w:val="01A416BA"/>
    <w:rsid w:val="036929C9"/>
    <w:rsid w:val="176F72BB"/>
    <w:rsid w:val="205A56C5"/>
    <w:rsid w:val="39467F8F"/>
    <w:rsid w:val="3C2E32C9"/>
    <w:rsid w:val="47E80303"/>
    <w:rsid w:val="4E055BEC"/>
    <w:rsid w:val="53354ADE"/>
    <w:rsid w:val="5DE62F1A"/>
    <w:rsid w:val="63C225FA"/>
    <w:rsid w:val="72F0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1"/>
    <w:next w:val="1"/>
    <w:qFormat/>
    <w:uiPriority w:val="0"/>
    <w:pPr>
      <w:keepNext/>
      <w:keepLines/>
      <w:adjustRightInd w:val="0"/>
      <w:snapToGrid w:val="0"/>
      <w:spacing w:before="0" w:after="200" w:line="240" w:lineRule="auto"/>
      <w:ind w:firstLine="0" w:firstLineChars="0"/>
      <w:jc w:val="left"/>
      <w:outlineLvl w:val="0"/>
    </w:pPr>
    <w:rPr>
      <w:rFonts w:ascii="Tahoma" w:hAnsi="Tahoma" w:eastAsia="微软雅黑" w:cs="Times New Roman"/>
      <w:b/>
      <w:kern w:val="44"/>
      <w:sz w:val="28"/>
      <w:szCs w:val="22"/>
      <w:lang w:val="en-US" w:eastAsia="zh-CN" w:bidi="ar-SA"/>
    </w:rPr>
  </w:style>
  <w:style w:type="paragraph" w:styleId="7">
    <w:name w:val="heading 3"/>
    <w:next w:val="8"/>
    <w:unhideWhenUsed/>
    <w:qFormat/>
    <w:uiPriority w:val="0"/>
    <w:pPr>
      <w:keepNext/>
      <w:widowControl w:val="0"/>
      <w:numPr>
        <w:ilvl w:val="2"/>
        <w:numId w:val="1"/>
      </w:numPr>
      <w:adjustRightInd w:val="0"/>
      <w:snapToGrid w:val="0"/>
      <w:spacing w:before="100" w:beforeAutospacing="1" w:line="360" w:lineRule="auto"/>
      <w:outlineLvl w:val="2"/>
    </w:pPr>
    <w:rPr>
      <w:rFonts w:ascii="黑体" w:hAnsi="Times New Roman" w:eastAsia="黑体" w:cs="Times New Roman"/>
      <w:bCs/>
      <w:kern w:val="2"/>
      <w:sz w:val="24"/>
      <w:szCs w:val="32"/>
      <w:lang w:val="en-US" w:eastAsia="zh-CN" w:bidi="ar-SA"/>
    </w:rPr>
  </w:style>
  <w:style w:type="paragraph" w:styleId="9">
    <w:name w:val="heading 4"/>
    <w:basedOn w:val="1"/>
    <w:next w:val="1"/>
    <w:unhideWhenUsed/>
    <w:qFormat/>
    <w:uiPriority w:val="0"/>
    <w:pPr>
      <w:keepNext/>
      <w:widowControl w:val="0"/>
      <w:numPr>
        <w:ilvl w:val="3"/>
        <w:numId w:val="1"/>
      </w:numPr>
      <w:adjustRightInd w:val="0"/>
      <w:snapToGrid w:val="0"/>
      <w:spacing w:before="100" w:beforeAutospacing="1" w:line="360" w:lineRule="auto"/>
      <w:outlineLvl w:val="3"/>
    </w:pPr>
    <w:rPr>
      <w:rFonts w:ascii="宋体" w:hAnsi="Cambria" w:eastAsia="宋体" w:cs="黑体"/>
      <w:b/>
      <w:bCs/>
      <w:kern w:val="2"/>
      <w:sz w:val="24"/>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semiHidden/>
    <w:unhideWhenUsed/>
    <w:qFormat/>
    <w:uiPriority w:val="0"/>
    <w:pPr>
      <w:spacing w:after="120" w:line="240" w:lineRule="auto"/>
      <w:ind w:left="420" w:leftChars="200" w:firstLine="420"/>
    </w:pPr>
    <w:rPr>
      <w:rFonts w:eastAsia="宋体"/>
      <w:color w:val="auto"/>
      <w:sz w:val="21"/>
      <w:szCs w:val="21"/>
    </w:rPr>
  </w:style>
  <w:style w:type="paragraph" w:styleId="3">
    <w:name w:val="Body Text Indent"/>
    <w:basedOn w:val="1"/>
    <w:next w:val="4"/>
    <w:qFormat/>
    <w:uiPriority w:val="0"/>
    <w:pPr>
      <w:spacing w:line="360" w:lineRule="auto"/>
      <w:ind w:firstLine="480" w:firstLineChars="200"/>
    </w:pPr>
    <w:rPr>
      <w:rFonts w:eastAsia="仿宋_GB2312"/>
      <w:color w:val="0000FF"/>
      <w:sz w:val="24"/>
      <w:szCs w:val="20"/>
    </w:rPr>
  </w:style>
  <w:style w:type="paragraph" w:customStyle="1" w:styleId="4">
    <w:name w:val="样式 标题 1一级标题 + 段前: 0.5 行 段后: 0.5 行"/>
    <w:qFormat/>
    <w:uiPriority w:val="99"/>
    <w:pPr>
      <w:keepNext/>
      <w:keepLines/>
      <w:adjustRightInd w:val="0"/>
      <w:snapToGrid w:val="0"/>
      <w:spacing w:before="0" w:after="200" w:line="320" w:lineRule="exact"/>
      <w:ind w:firstLine="0" w:firstLineChars="0"/>
      <w:jc w:val="center"/>
      <w:outlineLvl w:val="9"/>
    </w:pPr>
    <w:rPr>
      <w:rFonts w:ascii="Tahoma" w:hAnsi="Tahoma" w:eastAsia="微软雅黑" w:cs="Times New Roman"/>
      <w:b/>
      <w:spacing w:val="-6"/>
      <w:kern w:val="0"/>
      <w:sz w:val="21"/>
      <w:szCs w:val="21"/>
      <w:lang w:val="en-US" w:eastAsia="zh-CN" w:bidi="ar-SA"/>
    </w:rPr>
  </w:style>
  <w:style w:type="paragraph" w:customStyle="1" w:styleId="5">
    <w:name w:val="正文格式"/>
    <w:basedOn w:val="1"/>
    <w:next w:val="1"/>
    <w:qFormat/>
    <w:uiPriority w:val="0"/>
    <w:pPr>
      <w:spacing w:line="360" w:lineRule="auto"/>
      <w:ind w:firstLine="482"/>
    </w:pPr>
    <w:rPr>
      <w:rFonts w:ascii="宋体" w:hAnsi="宋体" w:cs="Times New Roman"/>
      <w:sz w:val="24"/>
      <w:szCs w:val="24"/>
    </w:rPr>
  </w:style>
  <w:style w:type="paragraph" w:customStyle="1" w:styleId="8">
    <w:name w:val="SSEC 正文"/>
    <w:link w:val="20"/>
    <w:qFormat/>
    <w:uiPriority w:val="0"/>
    <w:pPr>
      <w:widowControl w:val="0"/>
      <w:adjustRightInd w:val="0"/>
      <w:snapToGrid w:val="0"/>
      <w:spacing w:after="0" w:line="331" w:lineRule="auto"/>
      <w:ind w:firstLine="200" w:firstLineChars="200"/>
      <w:jc w:val="both"/>
    </w:pPr>
    <w:rPr>
      <w:rFonts w:ascii="宋体" w:hAnsi="宋体" w:cs="Times New Roman" w:eastAsiaTheme="minorEastAsia"/>
      <w:kern w:val="2"/>
      <w:sz w:val="24"/>
      <w:szCs w:val="24"/>
      <w:lang w:val="en-US" w:eastAsia="zh-CN" w:bidi="ar-SA"/>
    </w:rPr>
  </w:style>
  <w:style w:type="paragraph" w:styleId="10">
    <w:name w:val="Document Map"/>
    <w:basedOn w:val="1"/>
    <w:link w:val="23"/>
    <w:semiHidden/>
    <w:unhideWhenUsed/>
    <w:qFormat/>
    <w:uiPriority w:val="99"/>
    <w:rPr>
      <w:rFonts w:ascii="宋体" w:eastAsia="宋体"/>
      <w:sz w:val="18"/>
      <w:szCs w:val="18"/>
    </w:rPr>
  </w:style>
  <w:style w:type="paragraph" w:styleId="11">
    <w:name w:val="Body Text"/>
    <w:basedOn w:val="1"/>
    <w:unhideWhenUsed/>
    <w:qFormat/>
    <w:uiPriority w:val="0"/>
    <w:pPr>
      <w:spacing w:after="120"/>
    </w:pPr>
  </w:style>
  <w:style w:type="paragraph" w:styleId="12">
    <w:name w:val="footer"/>
    <w:basedOn w:val="1"/>
    <w:link w:val="19"/>
    <w:semiHidden/>
    <w:unhideWhenUsed/>
    <w:qFormat/>
    <w:uiPriority w:val="99"/>
    <w:pPr>
      <w:tabs>
        <w:tab w:val="center" w:pos="4153"/>
        <w:tab w:val="right" w:pos="8306"/>
      </w:tabs>
    </w:pPr>
    <w:rPr>
      <w:sz w:val="18"/>
      <w:szCs w:val="18"/>
    </w:rPr>
  </w:style>
  <w:style w:type="paragraph" w:styleId="13">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正文文本缩进 + 行距: 1.5 倍行距"/>
    <w:basedOn w:val="1"/>
    <w:qFormat/>
    <w:uiPriority w:val="0"/>
    <w:pPr>
      <w:spacing w:after="120"/>
      <w:ind w:left="90" w:leftChars="32" w:firstLine="560"/>
    </w:pPr>
    <w:rPr>
      <w:rFonts w:cs="宋体"/>
    </w:rPr>
  </w:style>
  <w:style w:type="character" w:customStyle="1" w:styleId="18">
    <w:name w:val="页眉 Char"/>
    <w:basedOn w:val="16"/>
    <w:link w:val="13"/>
    <w:semiHidden/>
    <w:qFormat/>
    <w:uiPriority w:val="99"/>
    <w:rPr>
      <w:rFonts w:ascii="Tahoma" w:hAnsi="Tahoma"/>
      <w:sz w:val="18"/>
      <w:szCs w:val="18"/>
    </w:rPr>
  </w:style>
  <w:style w:type="character" w:customStyle="1" w:styleId="19">
    <w:name w:val="页脚 Char"/>
    <w:basedOn w:val="16"/>
    <w:link w:val="12"/>
    <w:semiHidden/>
    <w:qFormat/>
    <w:uiPriority w:val="99"/>
    <w:rPr>
      <w:rFonts w:ascii="Tahoma" w:hAnsi="Tahoma"/>
      <w:sz w:val="18"/>
      <w:szCs w:val="18"/>
    </w:rPr>
  </w:style>
  <w:style w:type="character" w:customStyle="1" w:styleId="20">
    <w:name w:val="SSEC 正文 字符"/>
    <w:basedOn w:val="16"/>
    <w:link w:val="8"/>
    <w:qFormat/>
    <w:uiPriority w:val="0"/>
    <w:rPr>
      <w:rFonts w:ascii="宋体" w:hAnsi="宋体" w:cs="Times New Roman" w:eastAsiaTheme="minorEastAsia"/>
      <w:kern w:val="2"/>
      <w:sz w:val="24"/>
      <w:szCs w:val="24"/>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cs="Times New Roman" w:eastAsiaTheme="minorEastAsia"/>
      <w:sz w:val="24"/>
      <w:szCs w:val="20"/>
      <w:lang w:val="zh-CN"/>
    </w:rPr>
  </w:style>
  <w:style w:type="character" w:customStyle="1" w:styleId="22">
    <w:name w:val="lm正文 Char"/>
    <w:link w:val="21"/>
    <w:qFormat/>
    <w:uiPriority w:val="0"/>
    <w:rPr>
      <w:rFonts w:ascii="宋体" w:hAnsi="宋体" w:cs="Times New Roman" w:eastAsiaTheme="minorEastAsia"/>
      <w:sz w:val="24"/>
      <w:szCs w:val="20"/>
      <w:lang w:val="zh-CN"/>
    </w:rPr>
  </w:style>
  <w:style w:type="character" w:customStyle="1" w:styleId="23">
    <w:name w:val="文档结构图 Char"/>
    <w:basedOn w:val="16"/>
    <w:link w:val="10"/>
    <w:semiHidden/>
    <w:qFormat/>
    <w:uiPriority w:val="99"/>
    <w:rPr>
      <w:rFonts w:ascii="宋体" w:hAnsi="Tahoma" w:eastAsia="宋体"/>
      <w:sz w:val="18"/>
      <w:szCs w:val="18"/>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SSEC正文 20150323"/>
    <w:qFormat/>
    <w:uiPriority w:val="0"/>
    <w:pPr>
      <w:adjustRightInd w:val="0"/>
      <w:snapToGrid w:val="0"/>
      <w:spacing w:line="331" w:lineRule="auto"/>
      <w:ind w:firstLine="200" w:firstLineChars="200"/>
      <w:jc w:val="both"/>
    </w:pPr>
    <w:rPr>
      <w:rFonts w:ascii="宋体" w:hAnsi="宋体" w:eastAsiaTheme="minorEastAsia" w:cstheme="minorBidi"/>
      <w:kern w:val="2"/>
      <w:sz w:val="24"/>
      <w:szCs w:val="24"/>
      <w:lang w:val="en-US" w:eastAsia="zh-CN" w:bidi="ar-SA"/>
    </w:rPr>
  </w:style>
  <w:style w:type="paragraph" w:customStyle="1" w:styleId="26">
    <w:name w:val="STC 正文"/>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E7C2387-D248-4A9D-926B-7CF73D5B71BB}"/>
</file>

<file path=customXml/itemProps3.xml><?xml version="1.0" encoding="utf-8"?>
<ds:datastoreItem xmlns:ds="http://schemas.openxmlformats.org/officeDocument/2006/customXml" ds:itemID="{8C7553E8-ECFF-42CA-ACED-EF495E11CF9B}"/>
</file>

<file path=customXml/itemProps4.xml><?xml version="1.0" encoding="utf-8"?>
<ds:datastoreItem xmlns:ds="http://schemas.openxmlformats.org/officeDocument/2006/customXml" ds:itemID="{1F950078-C10E-48AF-ADC2-543B029CAABC}"/>
</file>

<file path=docProps/app.xml><?xml version="1.0" encoding="utf-8"?>
<Properties xmlns="http://schemas.openxmlformats.org/officeDocument/2006/extended-properties" xmlns:vt="http://schemas.openxmlformats.org/officeDocument/2006/docPropsVTypes">
  <Template>Normal</Template>
  <Pages>6</Pages>
  <Words>4056</Words>
  <Characters>4294</Characters>
  <Lines>32</Lines>
  <Paragraphs>9</Paragraphs>
  <TotalTime>146</TotalTime>
  <ScaleCrop>false</ScaleCrop>
  <LinksUpToDate>false</LinksUpToDate>
  <CharactersWithSpaces>4325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冥王星</cp:lastModifiedBy>
  <cp:revision>3</cp:revision>
  <cp:lastPrinted>2021-01-31T09:00:00Z</cp:lastPrinted>
  <dcterms:created xsi:type="dcterms:W3CDTF">2008-09-11T17:20:00Z</dcterms:created>
  <dcterms:modified xsi:type="dcterms:W3CDTF">2023-02-10T09:42:32Z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CBC262C42EC243289485E76452616282</vt:lpwstr>
  </property>
  <property fmtid="{D5CDD505-2E9C-101B-9397-08002B2CF9AE}" pid="4" name="ContentTypeId">
    <vt:lpwstr>0x010100313989E510CC474A862876A387D6F14A</vt:lpwstr>
  </property>
</Properties>
</file>