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00" w:lineRule="exact"/>
        <w:jc w:val="center"/>
        <w:outlineLvl w:val="0"/>
        <w:rPr>
          <w:rFonts w:ascii="Times New Roman" w:hAnsi="Times New Roman" w:eastAsia="宋体"/>
          <w:b/>
          <w:sz w:val="44"/>
          <w:szCs w:val="44"/>
        </w:rPr>
      </w:pPr>
      <w:r>
        <w:rPr>
          <w:rFonts w:ascii="Times New Roman" w:hAnsi="Times New Roman" w:eastAsia="宋体"/>
          <w:b/>
          <w:sz w:val="44"/>
          <w:szCs w:val="44"/>
        </w:rPr>
        <w:t>其他需要说明的事项</w:t>
      </w:r>
    </w:p>
    <w:p>
      <w:pPr>
        <w:snapToGrid/>
        <w:spacing w:before="157" w:after="0" w:line="500" w:lineRule="exact"/>
        <w:rPr>
          <w:rFonts w:ascii="Times New Roman" w:hAnsi="Times New Roman" w:eastAsia="宋体"/>
          <w:b/>
          <w:bCs/>
          <w:sz w:val="36"/>
          <w:szCs w:val="36"/>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spacing w:after="0" w:line="360" w:lineRule="auto"/>
        <w:ind w:firstLine="562" w:firstLineChars="200"/>
        <w:jc w:val="both"/>
        <w:rPr>
          <w:rFonts w:ascii="Times New Roman" w:hAnsi="Times New Roman" w:eastAsiaTheme="minorEastAsia"/>
          <w:b/>
          <w:bCs/>
          <w:color w:val="000000" w:themeColor="text1"/>
          <w:sz w:val="28"/>
          <w:szCs w:val="28"/>
        </w:rPr>
      </w:pPr>
      <w:r>
        <w:rPr>
          <w:rFonts w:ascii="Times New Roman" w:hAnsi="Times New Roman" w:eastAsiaTheme="minorEastAsia"/>
          <w:b/>
          <w:bCs/>
          <w:color w:val="000000" w:themeColor="text1"/>
          <w:sz w:val="28"/>
          <w:szCs w:val="28"/>
        </w:rPr>
        <w:t>1.1设计简况</w:t>
      </w:r>
    </w:p>
    <w:p>
      <w:pPr>
        <w:pStyle w:val="2"/>
        <w:spacing w:line="360" w:lineRule="auto"/>
        <w:ind w:left="0" w:leftChars="0" w:firstLine="480"/>
        <w:rPr>
          <w:rFonts w:hAnsi="Times New Roman"/>
          <w:sz w:val="24"/>
        </w:rPr>
      </w:pPr>
      <w:r>
        <w:rPr>
          <w:rFonts w:hAnsi="Times New Roman"/>
          <w:sz w:val="24"/>
        </w:rPr>
        <w:t>本项目环境保护设施的设计在可行性研究报告中和初步设计时均有考虑。根据项目特点，主要工程是：</w:t>
      </w:r>
      <w:r>
        <w:rPr>
          <w:rFonts w:hint="default" w:hAnsi="Times New Roman"/>
          <w:sz w:val="24"/>
        </w:rPr>
        <w:t>项目新钻井总数</w:t>
      </w:r>
      <w:r>
        <w:rPr>
          <w:rFonts w:hint="default" w:hAnsi="Times New Roman"/>
          <w:sz w:val="24"/>
          <w:lang w:val="en-US" w:eastAsia="zh-CN"/>
        </w:rPr>
        <w:t>308</w:t>
      </w:r>
      <w:r>
        <w:rPr>
          <w:rFonts w:hint="default" w:hAnsi="Times New Roman"/>
          <w:sz w:val="24"/>
        </w:rPr>
        <w:t>口，其中油井数</w:t>
      </w:r>
      <w:r>
        <w:rPr>
          <w:rFonts w:hint="default" w:hAnsi="Times New Roman"/>
          <w:sz w:val="24"/>
          <w:lang w:val="en-US" w:eastAsia="zh-CN"/>
        </w:rPr>
        <w:t>239</w:t>
      </w:r>
      <w:r>
        <w:rPr>
          <w:rFonts w:hint="default" w:hAnsi="Times New Roman"/>
          <w:sz w:val="24"/>
        </w:rPr>
        <w:t>口，注水井数</w:t>
      </w:r>
      <w:r>
        <w:rPr>
          <w:rFonts w:hint="default" w:hAnsi="Times New Roman"/>
          <w:sz w:val="24"/>
          <w:lang w:val="en-US" w:eastAsia="zh-CN"/>
        </w:rPr>
        <w:t>69</w:t>
      </w:r>
      <w:r>
        <w:rPr>
          <w:rFonts w:hint="default" w:hAnsi="Times New Roman"/>
          <w:sz w:val="24"/>
        </w:rPr>
        <w:t>口；新建</w:t>
      </w:r>
      <w:r>
        <w:rPr>
          <w:rFonts w:hint="default" w:hAnsi="Times New Roman"/>
          <w:sz w:val="24"/>
          <w:lang w:val="en-US" w:eastAsia="zh-CN"/>
        </w:rPr>
        <w:t>5</w:t>
      </w:r>
      <w:r>
        <w:rPr>
          <w:rFonts w:hint="default" w:hAnsi="Times New Roman"/>
          <w:sz w:val="24"/>
        </w:rPr>
        <w:t>0kW</w:t>
      </w:r>
      <w:r>
        <w:rPr>
          <w:rFonts w:hint="default" w:hAnsi="Times New Roman"/>
          <w:sz w:val="24"/>
          <w:lang w:val="en-US" w:eastAsia="zh-CN"/>
        </w:rPr>
        <w:t>水套加热炉65</w:t>
      </w:r>
      <w:r>
        <w:rPr>
          <w:rFonts w:hint="default" w:hAnsi="Times New Roman"/>
          <w:sz w:val="24"/>
        </w:rPr>
        <w:t>台；新建40m</w:t>
      </w:r>
      <w:r>
        <w:rPr>
          <w:rFonts w:hint="default" w:hAnsi="Times New Roman"/>
          <w:sz w:val="24"/>
          <w:vertAlign w:val="superscript"/>
        </w:rPr>
        <w:t>3</w:t>
      </w:r>
      <w:r>
        <w:rPr>
          <w:rFonts w:hint="default" w:hAnsi="Times New Roman"/>
          <w:sz w:val="24"/>
        </w:rPr>
        <w:t>高架罐10座；新建集油管线</w:t>
      </w:r>
      <w:r>
        <w:rPr>
          <w:rFonts w:hint="default" w:hAnsi="Times New Roman"/>
          <w:sz w:val="24"/>
          <w:lang w:val="en-US" w:eastAsia="zh-CN"/>
        </w:rPr>
        <w:t>56.5</w:t>
      </w:r>
      <w:r>
        <w:rPr>
          <w:rFonts w:hint="default" w:hAnsi="Times New Roman"/>
          <w:sz w:val="24"/>
        </w:rPr>
        <w:t>km，供气管线</w:t>
      </w:r>
      <w:r>
        <w:rPr>
          <w:rFonts w:hint="default" w:hAnsi="Times New Roman"/>
          <w:sz w:val="24"/>
          <w:lang w:val="en-US" w:eastAsia="zh-CN"/>
        </w:rPr>
        <w:t>3.2</w:t>
      </w:r>
      <w:r>
        <w:rPr>
          <w:rFonts w:hint="default" w:hAnsi="Times New Roman"/>
          <w:sz w:val="24"/>
        </w:rPr>
        <w:t>km，</w:t>
      </w:r>
      <w:r>
        <w:rPr>
          <w:rFonts w:hint="default" w:hAnsi="Times New Roman"/>
          <w:sz w:val="24"/>
          <w:lang w:val="en-US" w:eastAsia="zh-CN"/>
        </w:rPr>
        <w:t>单井</w:t>
      </w:r>
      <w:r>
        <w:rPr>
          <w:rFonts w:hint="default" w:hAnsi="Times New Roman"/>
          <w:sz w:val="24"/>
        </w:rPr>
        <w:t>注水管线</w:t>
      </w:r>
      <w:r>
        <w:rPr>
          <w:rFonts w:hint="default" w:hAnsi="Times New Roman"/>
          <w:sz w:val="24"/>
          <w:lang w:val="en-US" w:eastAsia="zh-CN"/>
        </w:rPr>
        <w:t>11.5</w:t>
      </w:r>
      <w:r>
        <w:rPr>
          <w:rFonts w:hint="default" w:hAnsi="Times New Roman"/>
          <w:sz w:val="24"/>
        </w:rPr>
        <w:t>km；并配套供电、通讯等配套工程。实际建成产液量</w:t>
      </w:r>
      <w:r>
        <w:rPr>
          <w:rFonts w:hint="default" w:hAnsi="Times New Roman"/>
          <w:sz w:val="24"/>
          <w:lang w:val="en-US" w:eastAsia="zh-CN"/>
        </w:rPr>
        <w:t>71.73</w:t>
      </w:r>
      <w:r>
        <w:rPr>
          <w:rFonts w:hint="default" w:hAnsi="Times New Roman"/>
          <w:sz w:val="24"/>
        </w:rPr>
        <w:t>×104t/a，产油量</w:t>
      </w:r>
      <w:r>
        <w:rPr>
          <w:rFonts w:hint="default" w:hAnsi="Times New Roman"/>
          <w:sz w:val="24"/>
          <w:lang w:val="en-US" w:eastAsia="zh-CN"/>
        </w:rPr>
        <w:t>19.58</w:t>
      </w:r>
      <w:r>
        <w:rPr>
          <w:rFonts w:hint="default" w:hAnsi="Times New Roman"/>
          <w:sz w:val="24"/>
        </w:rPr>
        <w:t>×104t/a，年注水量</w:t>
      </w:r>
      <w:r>
        <w:rPr>
          <w:rFonts w:hint="default" w:hAnsi="Times New Roman"/>
          <w:sz w:val="24"/>
          <w:lang w:val="en-US" w:eastAsia="zh-CN"/>
        </w:rPr>
        <w:t>64.34</w:t>
      </w:r>
      <w:r>
        <w:rPr>
          <w:rFonts w:hint="default" w:hAnsi="Times New Roman"/>
          <w:sz w:val="24"/>
        </w:rPr>
        <w:t>×104t/a。</w:t>
      </w:r>
      <w:r>
        <w:rPr>
          <w:rFonts w:hAnsi="Times New Roman"/>
          <w:sz w:val="24"/>
        </w:rPr>
        <w:t>配套建设消防、供配电、自控及道路等工程。本项目实际总投资</w:t>
      </w:r>
      <w:r>
        <w:rPr>
          <w:rFonts w:hint="eastAsia" w:hAnsi="Times New Roman"/>
          <w:sz w:val="24"/>
          <w:lang w:val="en-US" w:eastAsia="zh-CN"/>
        </w:rPr>
        <w:t>467999</w:t>
      </w:r>
      <w:r>
        <w:rPr>
          <w:rFonts w:hAnsi="Times New Roman"/>
          <w:sz w:val="24"/>
        </w:rPr>
        <w:t>万元，其中环保投资</w:t>
      </w:r>
      <w:r>
        <w:rPr>
          <w:rFonts w:hint="eastAsia" w:hAnsi="Times New Roman"/>
          <w:sz w:val="24"/>
          <w:lang w:val="en-US" w:eastAsia="zh-CN"/>
        </w:rPr>
        <w:t>6378</w:t>
      </w:r>
      <w:r>
        <w:rPr>
          <w:rFonts w:hAnsi="Times New Roman"/>
          <w:sz w:val="24"/>
        </w:rPr>
        <w:t>万元。</w:t>
      </w:r>
    </w:p>
    <w:p>
      <w:pPr>
        <w:spacing w:after="0" w:line="360" w:lineRule="auto"/>
        <w:ind w:firstLine="562" w:firstLineChars="200"/>
        <w:jc w:val="both"/>
        <w:rPr>
          <w:rFonts w:ascii="Times New Roman" w:hAnsi="Times New Roman" w:eastAsiaTheme="minorEastAsia"/>
          <w:b/>
          <w:bCs/>
          <w:color w:val="000000" w:themeColor="text1"/>
          <w:sz w:val="28"/>
          <w:szCs w:val="28"/>
        </w:rPr>
      </w:pPr>
      <w:r>
        <w:rPr>
          <w:rFonts w:ascii="Times New Roman" w:hAnsi="Times New Roman" w:eastAsiaTheme="minorEastAsia"/>
          <w:b/>
          <w:bCs/>
          <w:color w:val="000000" w:themeColor="text1"/>
          <w:sz w:val="28"/>
          <w:szCs w:val="28"/>
        </w:rPr>
        <w:t>1.2施工简况</w:t>
      </w:r>
    </w:p>
    <w:p>
      <w:pPr>
        <w:pStyle w:val="6"/>
        <w:numPr>
          <w:ilvl w:val="0"/>
          <w:numId w:val="0"/>
        </w:numPr>
        <w:adjustRightInd w:val="0"/>
        <w:snapToGrid w:val="0"/>
        <w:ind w:firstLine="480" w:firstLineChars="200"/>
        <w:rPr>
          <w:rFonts w:ascii="Times New Roman" w:hAnsi="Times New Roman" w:eastAsiaTheme="minorEastAsia"/>
          <w:color w:val="000000" w:themeColor="text1"/>
          <w:sz w:val="24"/>
          <w:szCs w:val="24"/>
        </w:rPr>
      </w:pPr>
      <w:r>
        <w:rPr>
          <w:rFonts w:hint="eastAsia" w:ascii="Times New Roman" w:hAnsi="Times New Roman" w:eastAsiaTheme="minorEastAsia"/>
          <w:color w:val="000000" w:themeColor="text1"/>
          <w:sz w:val="24"/>
          <w:szCs w:val="24"/>
          <w:lang w:val="en-US" w:eastAsia="zh-CN"/>
        </w:rPr>
        <w:t>临盘</w:t>
      </w:r>
      <w:r>
        <w:rPr>
          <w:rFonts w:ascii="Times New Roman" w:hAnsi="Times New Roman" w:eastAsiaTheme="minorEastAsia"/>
          <w:color w:val="000000" w:themeColor="text1"/>
          <w:sz w:val="24"/>
          <w:szCs w:val="24"/>
        </w:rPr>
        <w:t>采油厂要求施工单位严格按照合同中要求，在确保环境保护设施的建设进度和资金的保障前提下，严格落实本项目环境影响报告</w:t>
      </w:r>
      <w:r>
        <w:rPr>
          <w:rFonts w:hint="eastAsia" w:ascii="Times New Roman" w:hAnsi="Times New Roman" w:eastAsiaTheme="minorEastAsia"/>
          <w:color w:val="000000" w:themeColor="text1"/>
          <w:sz w:val="24"/>
          <w:szCs w:val="24"/>
        </w:rPr>
        <w:t>书</w:t>
      </w:r>
      <w:r>
        <w:rPr>
          <w:rFonts w:ascii="Times New Roman" w:hAnsi="Times New Roman" w:eastAsiaTheme="minorEastAsia"/>
          <w:color w:val="000000" w:themeColor="text1"/>
          <w:sz w:val="24"/>
          <w:szCs w:val="24"/>
        </w:rPr>
        <w:t>及其批复（</w:t>
      </w:r>
      <w:r>
        <w:rPr>
          <w:rFonts w:hint="eastAsia" w:ascii="Times New Roman" w:hAnsi="Times New Roman" w:eastAsiaTheme="minorEastAsia"/>
          <w:bCs/>
          <w:sz w:val="24"/>
          <w:lang w:val="en-US" w:eastAsia="zh-CN"/>
        </w:rPr>
        <w:t>临环办字</w:t>
      </w:r>
      <w:r>
        <w:rPr>
          <w:rFonts w:ascii="Times New Roman" w:hAnsi="Times New Roman"/>
          <w:bCs/>
          <w:sz w:val="24"/>
        </w:rPr>
        <w:t>〔201</w:t>
      </w:r>
      <w:r>
        <w:rPr>
          <w:rFonts w:hint="eastAsia" w:ascii="Times New Roman" w:hAnsi="Times New Roman"/>
          <w:bCs/>
          <w:sz w:val="24"/>
          <w:lang w:val="en-US" w:eastAsia="zh-CN"/>
        </w:rPr>
        <w:t>7</w:t>
      </w:r>
      <w:r>
        <w:rPr>
          <w:rFonts w:ascii="Times New Roman" w:hAnsi="Times New Roman"/>
          <w:bCs/>
          <w:sz w:val="24"/>
        </w:rPr>
        <w:t>〕</w:t>
      </w:r>
      <w:r>
        <w:rPr>
          <w:rFonts w:hint="eastAsia" w:ascii="Times New Roman" w:hAnsi="Times New Roman"/>
          <w:bCs/>
          <w:sz w:val="24"/>
          <w:lang w:val="en-US" w:eastAsia="zh-CN"/>
        </w:rPr>
        <w:t>13</w:t>
      </w:r>
      <w:r>
        <w:rPr>
          <w:rFonts w:ascii="Times New Roman" w:hAnsi="Times New Roman"/>
          <w:bCs/>
          <w:sz w:val="24"/>
        </w:rPr>
        <w:t>号</w:t>
      </w:r>
      <w:r>
        <w:rPr>
          <w:rFonts w:ascii="Times New Roman" w:hAnsi="Times New Roman" w:eastAsiaTheme="minorEastAsia"/>
          <w:color w:val="000000" w:themeColor="text1"/>
          <w:sz w:val="24"/>
          <w:szCs w:val="24"/>
        </w:rPr>
        <w:t>）中提出的生态环境保护工程和污染防治措施。</w:t>
      </w:r>
    </w:p>
    <w:p>
      <w:pPr>
        <w:spacing w:after="0" w:line="360" w:lineRule="auto"/>
        <w:ind w:firstLine="562" w:firstLineChars="200"/>
        <w:jc w:val="both"/>
        <w:rPr>
          <w:rFonts w:ascii="Times New Roman" w:hAnsi="Times New Roman" w:eastAsiaTheme="minorEastAsia"/>
          <w:b/>
          <w:bCs/>
          <w:color w:val="000000" w:themeColor="text1"/>
          <w:sz w:val="28"/>
          <w:szCs w:val="28"/>
        </w:rPr>
      </w:pPr>
      <w:r>
        <w:rPr>
          <w:rFonts w:ascii="Times New Roman" w:hAnsi="Times New Roman" w:eastAsiaTheme="minorEastAsia"/>
          <w:b/>
          <w:bCs/>
          <w:color w:val="000000" w:themeColor="text1"/>
          <w:sz w:val="28"/>
          <w:szCs w:val="28"/>
        </w:rPr>
        <w:t>1.3验收过程简况</w:t>
      </w:r>
    </w:p>
    <w:p>
      <w:pPr>
        <w:pStyle w:val="25"/>
        <w:adjustRightInd w:val="0"/>
        <w:snapToGrid w:val="0"/>
        <w:ind w:firstLine="482" w:firstLineChars="0"/>
        <w:jc w:val="both"/>
        <w:rPr>
          <w:rFonts w:ascii="Times New Roman" w:hAnsi="Times New Roman"/>
          <w:bCs/>
          <w:sz w:val="24"/>
        </w:rPr>
      </w:pPr>
      <w:r>
        <w:rPr>
          <w:rFonts w:ascii="Times New Roman" w:hAnsi="Times New Roman"/>
          <w:bCs/>
          <w:sz w:val="24"/>
        </w:rPr>
        <w:t>201</w:t>
      </w:r>
      <w:r>
        <w:rPr>
          <w:rFonts w:hint="eastAsia" w:ascii="Times New Roman" w:hAnsi="Times New Roman"/>
          <w:bCs/>
          <w:sz w:val="24"/>
          <w:lang w:val="en-US" w:eastAsia="zh-CN"/>
        </w:rPr>
        <w:t>5</w:t>
      </w:r>
      <w:r>
        <w:rPr>
          <w:rFonts w:ascii="Times New Roman" w:hAnsi="Times New Roman"/>
          <w:bCs/>
          <w:sz w:val="24"/>
        </w:rPr>
        <w:t>年</w:t>
      </w:r>
      <w:r>
        <w:rPr>
          <w:rFonts w:hint="eastAsia" w:ascii="Times New Roman" w:hAnsi="Times New Roman"/>
          <w:bCs/>
          <w:sz w:val="24"/>
        </w:rPr>
        <w:t>8</w:t>
      </w:r>
      <w:r>
        <w:rPr>
          <w:rFonts w:ascii="Times New Roman" w:hAnsi="Times New Roman"/>
          <w:bCs/>
          <w:sz w:val="24"/>
        </w:rPr>
        <w:t>月，</w:t>
      </w:r>
      <w:r>
        <w:rPr>
          <w:rFonts w:hint="eastAsia" w:ascii="Times New Roman" w:hAnsi="Times New Roman"/>
          <w:bCs/>
          <w:sz w:val="24"/>
          <w:lang w:val="en-US" w:eastAsia="zh-CN"/>
        </w:rPr>
        <w:t>临盘</w:t>
      </w:r>
      <w:r>
        <w:rPr>
          <w:rFonts w:ascii="Times New Roman" w:hAnsi="Times New Roman"/>
          <w:bCs/>
          <w:sz w:val="24"/>
        </w:rPr>
        <w:t>采油厂委托</w:t>
      </w:r>
      <w:r>
        <w:rPr>
          <w:rFonts w:ascii="Times New Roman" w:hAnsi="Times New Roman"/>
          <w:color w:val="000000"/>
          <w:sz w:val="24"/>
        </w:rPr>
        <w:t>胜利油田森诺胜利工程有限公司</w:t>
      </w:r>
      <w:r>
        <w:rPr>
          <w:rFonts w:ascii="Times New Roman" w:hAnsi="Times New Roman"/>
          <w:bCs/>
          <w:sz w:val="24"/>
        </w:rPr>
        <w:t>对该项目进行了环境影响评价，编制完成了</w:t>
      </w:r>
      <w:r>
        <w:rPr>
          <w:rFonts w:ascii="Times New Roman" w:hAnsi="Times New Roman"/>
          <w:color w:val="000000"/>
          <w:sz w:val="24"/>
        </w:rPr>
        <w:t>《</w:t>
      </w:r>
      <w:r>
        <w:rPr>
          <w:rFonts w:hint="default" w:ascii="Times New Roman" w:hAnsi="Times New Roman"/>
          <w:color w:val="000000"/>
          <w:sz w:val="24"/>
        </w:rPr>
        <w:t>胜利油田分公司临盘采油厂2015-2019年德州油区滚动开发建设项目</w:t>
      </w:r>
      <w:r>
        <w:rPr>
          <w:rFonts w:ascii="Times New Roman" w:hAnsi="Times New Roman"/>
          <w:bCs/>
          <w:sz w:val="24"/>
        </w:rPr>
        <w:t>环境影响报告</w:t>
      </w:r>
      <w:r>
        <w:rPr>
          <w:rFonts w:hint="eastAsia" w:ascii="Times New Roman" w:hAnsi="Times New Roman"/>
          <w:bCs/>
          <w:sz w:val="24"/>
        </w:rPr>
        <w:t>书</w:t>
      </w:r>
      <w:r>
        <w:rPr>
          <w:rFonts w:ascii="Times New Roman" w:hAnsi="Times New Roman"/>
          <w:color w:val="000000"/>
          <w:sz w:val="24"/>
        </w:rPr>
        <w:t>》</w:t>
      </w:r>
      <w:r>
        <w:rPr>
          <w:rFonts w:ascii="Times New Roman" w:hAnsi="Times New Roman"/>
          <w:bCs/>
          <w:sz w:val="24"/>
        </w:rPr>
        <w:t>；</w:t>
      </w:r>
    </w:p>
    <w:p>
      <w:pPr>
        <w:pStyle w:val="25"/>
        <w:adjustRightInd w:val="0"/>
        <w:snapToGrid w:val="0"/>
        <w:ind w:firstLine="482" w:firstLineChars="0"/>
        <w:jc w:val="both"/>
        <w:rPr>
          <w:rFonts w:ascii="Times New Roman" w:hAnsi="Times New Roman"/>
          <w:bCs/>
          <w:color w:val="000000"/>
          <w:sz w:val="24"/>
          <w:lang w:val="zh-CN"/>
        </w:rPr>
      </w:pPr>
      <w:r>
        <w:rPr>
          <w:rFonts w:ascii="Times New Roman" w:hAnsi="Times New Roman"/>
          <w:bCs/>
          <w:sz w:val="24"/>
        </w:rPr>
        <w:t>201</w:t>
      </w:r>
      <w:r>
        <w:rPr>
          <w:rFonts w:hint="eastAsia" w:ascii="Times New Roman" w:hAnsi="Times New Roman"/>
          <w:bCs/>
          <w:sz w:val="24"/>
          <w:lang w:val="en-US" w:eastAsia="zh-CN"/>
        </w:rPr>
        <w:t>7</w:t>
      </w:r>
      <w:r>
        <w:rPr>
          <w:rFonts w:ascii="Times New Roman" w:hAnsi="Times New Roman"/>
          <w:bCs/>
          <w:sz w:val="24"/>
        </w:rPr>
        <w:t>年</w:t>
      </w:r>
      <w:r>
        <w:rPr>
          <w:rFonts w:hint="eastAsia" w:ascii="Times New Roman" w:hAnsi="Times New Roman"/>
          <w:bCs/>
          <w:sz w:val="24"/>
          <w:lang w:val="en-US" w:eastAsia="zh-CN"/>
        </w:rPr>
        <w:t>11</w:t>
      </w:r>
      <w:r>
        <w:rPr>
          <w:rFonts w:ascii="Times New Roman" w:hAnsi="Times New Roman"/>
          <w:bCs/>
          <w:sz w:val="24"/>
        </w:rPr>
        <w:t>月</w:t>
      </w:r>
      <w:r>
        <w:rPr>
          <w:rFonts w:hint="eastAsia" w:ascii="Times New Roman" w:hAnsi="Times New Roman"/>
          <w:bCs/>
          <w:sz w:val="24"/>
          <w:lang w:val="en-US" w:eastAsia="zh-CN"/>
        </w:rPr>
        <w:t>28</w:t>
      </w:r>
      <w:r>
        <w:rPr>
          <w:rFonts w:hint="eastAsia" w:ascii="Times New Roman" w:hAnsi="Times New Roman"/>
          <w:bCs/>
          <w:sz w:val="24"/>
        </w:rPr>
        <w:t>日</w:t>
      </w:r>
      <w:r>
        <w:rPr>
          <w:rFonts w:ascii="Times New Roman" w:hAnsi="Times New Roman"/>
          <w:bCs/>
          <w:sz w:val="24"/>
        </w:rPr>
        <w:t>，</w:t>
      </w:r>
      <w:r>
        <w:rPr>
          <w:rFonts w:hint="eastAsia" w:ascii="Times New Roman" w:hAnsi="Times New Roman"/>
          <w:bCs/>
          <w:sz w:val="24"/>
          <w:lang w:val="en-US" w:eastAsia="zh-CN"/>
        </w:rPr>
        <w:t>临邑县环境保护局</w:t>
      </w:r>
      <w:r>
        <w:rPr>
          <w:rFonts w:ascii="Times New Roman" w:hAnsi="Times New Roman"/>
          <w:bCs/>
          <w:color w:val="000000"/>
          <w:sz w:val="24"/>
          <w:lang w:val="zh-CN"/>
        </w:rPr>
        <w:t>以“</w:t>
      </w:r>
      <w:r>
        <w:rPr>
          <w:rFonts w:hint="eastAsia" w:ascii="Times New Roman" w:hAnsi="Times New Roman"/>
          <w:bCs/>
          <w:sz w:val="24"/>
          <w:lang w:val="en-US" w:eastAsia="zh-CN"/>
        </w:rPr>
        <w:t>临环办字</w:t>
      </w:r>
      <w:r>
        <w:rPr>
          <w:rFonts w:ascii="Times New Roman" w:hAnsi="Times New Roman"/>
          <w:bCs/>
          <w:sz w:val="24"/>
        </w:rPr>
        <w:t>〔201</w:t>
      </w:r>
      <w:r>
        <w:rPr>
          <w:rFonts w:hint="eastAsia" w:ascii="Times New Roman" w:hAnsi="Times New Roman"/>
          <w:bCs/>
          <w:sz w:val="24"/>
          <w:lang w:val="en-US" w:eastAsia="zh-CN"/>
        </w:rPr>
        <w:t>7</w:t>
      </w:r>
      <w:r>
        <w:rPr>
          <w:rFonts w:ascii="Times New Roman" w:hAnsi="Times New Roman"/>
          <w:bCs/>
          <w:sz w:val="24"/>
        </w:rPr>
        <w:t>〕</w:t>
      </w:r>
      <w:r>
        <w:rPr>
          <w:rFonts w:hint="eastAsia" w:ascii="Times New Roman" w:hAnsi="Times New Roman"/>
          <w:bCs/>
          <w:sz w:val="24"/>
          <w:lang w:val="en-US" w:eastAsia="zh-CN"/>
        </w:rPr>
        <w:t>13</w:t>
      </w:r>
      <w:r>
        <w:rPr>
          <w:rFonts w:ascii="Times New Roman" w:hAnsi="Times New Roman"/>
          <w:bCs/>
          <w:sz w:val="24"/>
        </w:rPr>
        <w:t>号</w:t>
      </w:r>
      <w:r>
        <w:rPr>
          <w:rFonts w:ascii="Times New Roman" w:hAnsi="Times New Roman"/>
          <w:bCs/>
          <w:color w:val="000000"/>
          <w:sz w:val="24"/>
          <w:lang w:val="zh-CN"/>
        </w:rPr>
        <w:t>”文批复了</w:t>
      </w:r>
      <w:r>
        <w:rPr>
          <w:rFonts w:ascii="Times New Roman" w:hAnsi="Times New Roman"/>
          <w:color w:val="000000"/>
          <w:sz w:val="24"/>
        </w:rPr>
        <w:t>《</w:t>
      </w:r>
      <w:r>
        <w:rPr>
          <w:rFonts w:hint="default" w:ascii="Times New Roman" w:hAnsi="Times New Roman"/>
          <w:color w:val="000000"/>
          <w:sz w:val="24"/>
        </w:rPr>
        <w:t>胜利油田分公司临盘采油厂2015-2019年德州油区滚动开发建设项目</w:t>
      </w:r>
      <w:r>
        <w:rPr>
          <w:rFonts w:ascii="Times New Roman" w:hAnsi="Times New Roman"/>
          <w:bCs/>
          <w:sz w:val="24"/>
        </w:rPr>
        <w:t>环境影响报告</w:t>
      </w:r>
      <w:r>
        <w:rPr>
          <w:rFonts w:hint="eastAsia" w:ascii="Times New Roman" w:hAnsi="Times New Roman"/>
          <w:bCs/>
          <w:sz w:val="24"/>
        </w:rPr>
        <w:t>书</w:t>
      </w:r>
      <w:r>
        <w:rPr>
          <w:rFonts w:ascii="Times New Roman" w:hAnsi="Times New Roman"/>
          <w:color w:val="000000"/>
          <w:sz w:val="24"/>
        </w:rPr>
        <w:t>》</w:t>
      </w:r>
      <w:r>
        <w:rPr>
          <w:rFonts w:ascii="Times New Roman" w:hAnsi="Times New Roman"/>
          <w:bCs/>
          <w:color w:val="000000"/>
          <w:sz w:val="24"/>
          <w:lang w:val="zh-CN"/>
        </w:rPr>
        <w:t>；</w:t>
      </w:r>
    </w:p>
    <w:p>
      <w:pPr>
        <w:pStyle w:val="25"/>
        <w:adjustRightInd w:val="0"/>
        <w:snapToGrid w:val="0"/>
        <w:ind w:firstLine="482" w:firstLineChars="0"/>
        <w:jc w:val="both"/>
        <w:rPr>
          <w:rFonts w:ascii="Times New Roman" w:hAnsi="Times New Roman"/>
          <w:bCs/>
          <w:color w:val="000000"/>
          <w:sz w:val="24"/>
          <w:lang w:val="zh-CN"/>
        </w:rPr>
      </w:pPr>
      <w:r>
        <w:rPr>
          <w:rFonts w:ascii="Times New Roman" w:hAnsi="Times New Roman"/>
          <w:bCs/>
          <w:color w:val="000000"/>
          <w:sz w:val="24"/>
          <w:lang w:val="zh-CN"/>
        </w:rPr>
        <w:t>201</w:t>
      </w:r>
      <w:r>
        <w:rPr>
          <w:rFonts w:hint="eastAsia" w:ascii="Times New Roman" w:hAnsi="Times New Roman"/>
          <w:bCs/>
          <w:color w:val="000000"/>
          <w:sz w:val="24"/>
          <w:lang w:val="en-US" w:eastAsia="zh-CN"/>
        </w:rPr>
        <w:t>7</w:t>
      </w:r>
      <w:r>
        <w:rPr>
          <w:rFonts w:ascii="Times New Roman" w:hAnsi="Times New Roman"/>
          <w:bCs/>
          <w:color w:val="000000"/>
          <w:sz w:val="24"/>
          <w:lang w:val="zh-CN"/>
        </w:rPr>
        <w:t>年</w:t>
      </w:r>
      <w:r>
        <w:rPr>
          <w:rFonts w:hint="eastAsia" w:ascii="Times New Roman" w:hAnsi="Times New Roman"/>
          <w:bCs/>
          <w:color w:val="000000"/>
          <w:sz w:val="24"/>
          <w:lang w:val="en-US" w:eastAsia="zh-CN"/>
        </w:rPr>
        <w:t>11</w:t>
      </w:r>
      <w:r>
        <w:rPr>
          <w:rFonts w:ascii="Times New Roman" w:hAnsi="Times New Roman"/>
          <w:bCs/>
          <w:color w:val="000000"/>
          <w:sz w:val="24"/>
          <w:lang w:val="zh-CN"/>
        </w:rPr>
        <w:t>月</w:t>
      </w:r>
      <w:r>
        <w:rPr>
          <w:rFonts w:hint="eastAsia" w:ascii="Times New Roman" w:hAnsi="Times New Roman"/>
          <w:bCs/>
          <w:color w:val="000000"/>
          <w:sz w:val="24"/>
          <w:lang w:val="en-US" w:eastAsia="zh-CN"/>
        </w:rPr>
        <w:t>30</w:t>
      </w:r>
      <w:r>
        <w:rPr>
          <w:rFonts w:ascii="Times New Roman" w:hAnsi="Times New Roman"/>
          <w:bCs/>
          <w:color w:val="000000"/>
          <w:sz w:val="24"/>
          <w:lang w:val="zh-CN"/>
        </w:rPr>
        <w:t>日，工程开始施工；</w:t>
      </w:r>
    </w:p>
    <w:p>
      <w:pPr>
        <w:pStyle w:val="25"/>
        <w:adjustRightInd w:val="0"/>
        <w:snapToGrid w:val="0"/>
        <w:ind w:firstLine="482" w:firstLineChars="0"/>
        <w:jc w:val="both"/>
        <w:rPr>
          <w:rFonts w:ascii="Times New Roman" w:hAnsi="Times New Roman"/>
          <w:bCs/>
          <w:color w:val="000000"/>
          <w:sz w:val="24"/>
          <w:lang w:val="zh-CN"/>
        </w:rPr>
      </w:pPr>
      <w:r>
        <w:rPr>
          <w:rFonts w:ascii="Times New Roman" w:hAnsi="Times New Roman"/>
          <w:bCs/>
          <w:color w:val="000000"/>
          <w:sz w:val="24"/>
          <w:lang w:val="zh-CN"/>
        </w:rPr>
        <w:t>20</w:t>
      </w:r>
      <w:r>
        <w:rPr>
          <w:rFonts w:hint="eastAsia" w:ascii="Times New Roman" w:hAnsi="Times New Roman"/>
          <w:bCs/>
          <w:color w:val="000000"/>
          <w:sz w:val="24"/>
          <w:lang w:val="en-US" w:eastAsia="zh-CN"/>
        </w:rPr>
        <w:t>20</w:t>
      </w:r>
      <w:r>
        <w:rPr>
          <w:rFonts w:ascii="Times New Roman" w:hAnsi="Times New Roman"/>
          <w:bCs/>
          <w:color w:val="000000"/>
          <w:sz w:val="24"/>
          <w:lang w:val="zh-CN"/>
        </w:rPr>
        <w:t>年</w:t>
      </w:r>
      <w:r>
        <w:rPr>
          <w:rFonts w:hint="eastAsia" w:ascii="Times New Roman" w:hAnsi="Times New Roman"/>
          <w:bCs/>
          <w:color w:val="000000"/>
          <w:sz w:val="24"/>
          <w:lang w:val="en-US" w:eastAsia="zh-CN"/>
        </w:rPr>
        <w:t>9</w:t>
      </w:r>
      <w:r>
        <w:rPr>
          <w:rFonts w:ascii="Times New Roman" w:hAnsi="Times New Roman"/>
          <w:bCs/>
          <w:color w:val="000000"/>
          <w:sz w:val="24"/>
          <w:lang w:val="zh-CN"/>
        </w:rPr>
        <w:t>月</w:t>
      </w:r>
      <w:r>
        <w:rPr>
          <w:rFonts w:hint="eastAsia" w:ascii="Times New Roman" w:hAnsi="Times New Roman"/>
          <w:bCs/>
          <w:color w:val="000000"/>
          <w:sz w:val="24"/>
        </w:rPr>
        <w:t>1</w:t>
      </w:r>
      <w:r>
        <w:rPr>
          <w:rFonts w:hint="eastAsia" w:ascii="Times New Roman" w:hAnsi="Times New Roman"/>
          <w:bCs/>
          <w:color w:val="000000"/>
          <w:sz w:val="24"/>
          <w:lang w:val="en-US" w:eastAsia="zh-CN"/>
        </w:rPr>
        <w:t>5</w:t>
      </w:r>
      <w:r>
        <w:rPr>
          <w:rFonts w:ascii="Times New Roman" w:hAnsi="Times New Roman"/>
          <w:bCs/>
          <w:color w:val="000000"/>
          <w:sz w:val="24"/>
          <w:lang w:val="zh-CN"/>
        </w:rPr>
        <w:t>日，</w:t>
      </w:r>
      <w:r>
        <w:rPr>
          <w:rFonts w:hint="eastAsia" w:ascii="Times New Roman" w:hAnsi="Times New Roman"/>
          <w:bCs/>
          <w:color w:val="000000"/>
          <w:sz w:val="24"/>
          <w:lang w:val="en-US" w:eastAsia="zh-CN"/>
        </w:rPr>
        <w:t>建设完成</w:t>
      </w:r>
      <w:r>
        <w:rPr>
          <w:rFonts w:ascii="Times New Roman" w:hAnsi="Times New Roman"/>
          <w:bCs/>
          <w:color w:val="000000"/>
          <w:sz w:val="24"/>
          <w:lang w:val="zh-CN"/>
        </w:rPr>
        <w:t>；</w:t>
      </w:r>
    </w:p>
    <w:p>
      <w:pPr>
        <w:pStyle w:val="25"/>
        <w:adjustRightInd w:val="0"/>
        <w:snapToGrid w:val="0"/>
        <w:ind w:firstLine="482" w:firstLineChars="0"/>
        <w:jc w:val="both"/>
        <w:rPr>
          <w:rFonts w:ascii="Times New Roman" w:hAnsi="Times New Roman"/>
          <w:bCs/>
          <w:color w:val="000000"/>
          <w:sz w:val="24"/>
        </w:rPr>
      </w:pPr>
      <w:r>
        <w:rPr>
          <w:rFonts w:ascii="Times New Roman" w:hAnsi="Times New Roman"/>
          <w:bCs/>
          <w:color w:val="000000"/>
          <w:sz w:val="24"/>
        </w:rPr>
        <w:t>20</w:t>
      </w:r>
      <w:r>
        <w:rPr>
          <w:rFonts w:hint="eastAsia" w:ascii="Times New Roman" w:hAnsi="Times New Roman"/>
          <w:bCs/>
          <w:color w:val="000000"/>
          <w:sz w:val="24"/>
          <w:lang w:val="en-US" w:eastAsia="zh-CN"/>
        </w:rPr>
        <w:t>20</w:t>
      </w:r>
      <w:r>
        <w:rPr>
          <w:rFonts w:ascii="Times New Roman" w:hAnsi="Times New Roman"/>
          <w:bCs/>
          <w:color w:val="000000"/>
          <w:sz w:val="24"/>
        </w:rPr>
        <w:t>年</w:t>
      </w:r>
      <w:r>
        <w:rPr>
          <w:rFonts w:hint="eastAsia" w:ascii="Times New Roman" w:hAnsi="Times New Roman"/>
          <w:bCs/>
          <w:color w:val="000000"/>
          <w:sz w:val="24"/>
          <w:lang w:val="en-US" w:eastAsia="zh-CN"/>
        </w:rPr>
        <w:t>9</w:t>
      </w:r>
      <w:r>
        <w:rPr>
          <w:rFonts w:ascii="Times New Roman" w:hAnsi="Times New Roman"/>
          <w:bCs/>
          <w:color w:val="000000"/>
          <w:sz w:val="24"/>
        </w:rPr>
        <w:t>月投入试运行；</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lang w:val="zh-CN"/>
        </w:rPr>
      </w:pPr>
      <w:r>
        <w:rPr>
          <w:rFonts w:ascii="Times New Roman" w:hAnsi="Times New Roman" w:eastAsiaTheme="minorEastAsia"/>
          <w:color w:val="000000" w:themeColor="text1"/>
          <w:kern w:val="2"/>
          <w:sz w:val="24"/>
          <w:szCs w:val="24"/>
          <w:lang w:val="zh-CN"/>
        </w:rPr>
        <w:t>根据《中华人民共和国环境保护法》、《建设项目竣工环境保护验收暂行办法》的要求，20</w:t>
      </w:r>
      <w:r>
        <w:rPr>
          <w:rFonts w:hint="eastAsia" w:ascii="Times New Roman" w:hAnsi="Times New Roman" w:eastAsiaTheme="minorEastAsia"/>
          <w:color w:val="000000" w:themeColor="text1"/>
          <w:kern w:val="2"/>
          <w:sz w:val="24"/>
          <w:szCs w:val="24"/>
          <w:lang w:val="en-US" w:eastAsia="zh-CN"/>
        </w:rPr>
        <w:t>20</w:t>
      </w:r>
      <w:r>
        <w:rPr>
          <w:rFonts w:ascii="Times New Roman" w:hAnsi="Times New Roman" w:eastAsiaTheme="minorEastAsia"/>
          <w:color w:val="000000" w:themeColor="text1"/>
          <w:kern w:val="2"/>
          <w:sz w:val="24"/>
          <w:szCs w:val="24"/>
          <w:lang w:val="zh-CN"/>
        </w:rPr>
        <w:t>年</w:t>
      </w:r>
      <w:r>
        <w:rPr>
          <w:rFonts w:hint="eastAsia" w:ascii="Times New Roman" w:hAnsi="Times New Roman" w:eastAsiaTheme="minorEastAsia"/>
          <w:color w:val="000000" w:themeColor="text1"/>
          <w:kern w:val="2"/>
          <w:sz w:val="24"/>
          <w:szCs w:val="24"/>
          <w:lang w:val="en-US" w:eastAsia="zh-CN"/>
        </w:rPr>
        <w:t>9</w:t>
      </w:r>
      <w:r>
        <w:rPr>
          <w:rFonts w:ascii="Times New Roman" w:hAnsi="Times New Roman" w:eastAsiaTheme="minorEastAsia"/>
          <w:color w:val="000000" w:themeColor="text1"/>
          <w:kern w:val="2"/>
          <w:sz w:val="24"/>
          <w:szCs w:val="24"/>
          <w:lang w:val="zh-CN"/>
        </w:rPr>
        <w:t>月，受中国石油化工股份有限公司胜利油田分公司</w:t>
      </w:r>
      <w:r>
        <w:rPr>
          <w:rFonts w:hint="eastAsia" w:ascii="Times New Roman" w:hAnsi="Times New Roman" w:eastAsiaTheme="minorEastAsia"/>
          <w:color w:val="000000" w:themeColor="text1"/>
          <w:kern w:val="2"/>
          <w:sz w:val="24"/>
          <w:szCs w:val="24"/>
          <w:lang w:val="zh-CN"/>
        </w:rPr>
        <w:t>临盘</w:t>
      </w:r>
      <w:r>
        <w:rPr>
          <w:rFonts w:ascii="Times New Roman" w:hAnsi="Times New Roman" w:eastAsiaTheme="minorEastAsia"/>
          <w:color w:val="000000" w:themeColor="text1"/>
          <w:kern w:val="2"/>
          <w:sz w:val="24"/>
          <w:szCs w:val="24"/>
          <w:lang w:val="zh-CN"/>
        </w:rPr>
        <w:t>采油厂的委托，东营市胜丰职业卫生检测评价有限责任公司承担了该工程环境保护验收调查</w:t>
      </w:r>
      <w:r>
        <w:rPr>
          <w:rFonts w:hint="eastAsia" w:ascii="Times New Roman" w:hAnsi="Times New Roman" w:eastAsiaTheme="minorEastAsia"/>
          <w:color w:val="000000" w:themeColor="text1"/>
          <w:kern w:val="2"/>
          <w:sz w:val="24"/>
          <w:szCs w:val="24"/>
          <w:lang w:val="zh-CN"/>
        </w:rPr>
        <w:t>报告</w:t>
      </w:r>
      <w:r>
        <w:rPr>
          <w:rFonts w:ascii="Times New Roman" w:hAnsi="Times New Roman" w:eastAsiaTheme="minorEastAsia"/>
          <w:color w:val="000000" w:themeColor="text1"/>
          <w:kern w:val="2"/>
          <w:sz w:val="24"/>
          <w:szCs w:val="24"/>
          <w:lang w:val="zh-CN"/>
        </w:rPr>
        <w:t>的编制工作。</w:t>
      </w:r>
    </w:p>
    <w:p>
      <w:pPr>
        <w:pStyle w:val="25"/>
        <w:adjustRightInd w:val="0"/>
        <w:snapToGrid w:val="0"/>
        <w:ind w:firstLine="482" w:firstLineChars="0"/>
        <w:jc w:val="both"/>
        <w:rPr>
          <w:rFonts w:ascii="Times New Roman" w:hAnsi="Times New Roman"/>
          <w:sz w:val="24"/>
          <w:szCs w:val="24"/>
        </w:rPr>
      </w:pPr>
      <w:r>
        <w:rPr>
          <w:rFonts w:ascii="Times New Roman" w:hAnsi="Times New Roman" w:eastAsiaTheme="minorEastAsia"/>
          <w:color w:val="000000" w:themeColor="text1"/>
          <w:sz w:val="24"/>
          <w:szCs w:val="24"/>
        </w:rPr>
        <w:t>东营市胜丰职业卫生检测评价有限责任公司于20</w:t>
      </w:r>
      <w:r>
        <w:rPr>
          <w:rFonts w:hint="eastAsia" w:ascii="Times New Roman" w:hAnsi="Times New Roman" w:eastAsiaTheme="minorEastAsia"/>
          <w:color w:val="000000" w:themeColor="text1"/>
          <w:sz w:val="24"/>
          <w:szCs w:val="24"/>
          <w:lang w:val="en-US" w:eastAsia="zh-CN"/>
        </w:rPr>
        <w:t>20</w:t>
      </w:r>
      <w:r>
        <w:rPr>
          <w:rFonts w:ascii="Times New Roman" w:hAnsi="Times New Roman" w:eastAsiaTheme="minorEastAsia"/>
          <w:color w:val="000000" w:themeColor="text1"/>
          <w:sz w:val="24"/>
          <w:szCs w:val="24"/>
        </w:rPr>
        <w:t>年</w:t>
      </w:r>
      <w:r>
        <w:rPr>
          <w:rFonts w:hint="eastAsia" w:ascii="Times New Roman" w:hAnsi="Times New Roman" w:eastAsiaTheme="minorEastAsia"/>
          <w:color w:val="000000" w:themeColor="text1"/>
          <w:sz w:val="24"/>
          <w:szCs w:val="24"/>
          <w:lang w:val="en-US" w:eastAsia="zh-CN"/>
        </w:rPr>
        <w:t>9</w:t>
      </w:r>
      <w:r>
        <w:rPr>
          <w:rFonts w:ascii="Times New Roman" w:hAnsi="Times New Roman" w:eastAsiaTheme="minorEastAsia"/>
          <w:color w:val="000000" w:themeColor="text1"/>
          <w:sz w:val="24"/>
          <w:szCs w:val="24"/>
        </w:rPr>
        <w:t>月安排人员到现场进行了现场勘查和资料收集，查阅了有关文件和技术资料，查看了污染物治理和排放、环保措施的落实情况。根据调查结果，东营市胜丰职业卫生检测评价有限责任公司于20</w:t>
      </w:r>
      <w:r>
        <w:rPr>
          <w:rFonts w:hint="eastAsia" w:ascii="Times New Roman" w:hAnsi="Times New Roman" w:eastAsiaTheme="minorEastAsia"/>
          <w:color w:val="000000" w:themeColor="text1"/>
          <w:sz w:val="24"/>
          <w:szCs w:val="24"/>
          <w:lang w:val="en-US" w:eastAsia="zh-CN"/>
        </w:rPr>
        <w:t>20</w:t>
      </w:r>
      <w:r>
        <w:rPr>
          <w:rFonts w:ascii="Times New Roman" w:hAnsi="Times New Roman" w:eastAsiaTheme="minorEastAsia"/>
          <w:color w:val="000000" w:themeColor="text1"/>
          <w:sz w:val="24"/>
          <w:szCs w:val="24"/>
        </w:rPr>
        <w:t>年</w:t>
      </w:r>
      <w:r>
        <w:rPr>
          <w:rFonts w:hint="eastAsia" w:ascii="Times New Roman" w:hAnsi="Times New Roman" w:eastAsiaTheme="minorEastAsia"/>
          <w:color w:val="000000" w:themeColor="text1"/>
          <w:sz w:val="24"/>
          <w:szCs w:val="24"/>
        </w:rPr>
        <w:t>1</w:t>
      </w:r>
      <w:r>
        <w:rPr>
          <w:rFonts w:hint="eastAsia" w:ascii="Times New Roman" w:hAnsi="Times New Roman" w:eastAsiaTheme="minorEastAsia"/>
          <w:color w:val="000000" w:themeColor="text1"/>
          <w:sz w:val="24"/>
          <w:szCs w:val="24"/>
          <w:lang w:val="en-US" w:eastAsia="zh-CN"/>
        </w:rPr>
        <w:t>2</w:t>
      </w:r>
      <w:r>
        <w:rPr>
          <w:rFonts w:ascii="Times New Roman" w:hAnsi="Times New Roman" w:eastAsiaTheme="minorEastAsia"/>
          <w:color w:val="000000" w:themeColor="text1"/>
          <w:sz w:val="24"/>
          <w:szCs w:val="24"/>
        </w:rPr>
        <w:t>月编写完成了</w:t>
      </w:r>
      <w:r>
        <w:rPr>
          <w:rFonts w:ascii="Times New Roman" w:hAnsi="Times New Roman"/>
          <w:bCs/>
          <w:color w:val="000000"/>
          <w:sz w:val="24"/>
        </w:rPr>
        <w:t>《</w:t>
      </w:r>
      <w:r>
        <w:rPr>
          <w:rFonts w:hint="eastAsia" w:ascii="Times New Roman" w:hAnsi="Times New Roman"/>
          <w:snapToGrid w:val="0"/>
          <w:color w:val="000000"/>
          <w:sz w:val="24"/>
          <w:szCs w:val="24"/>
          <w:lang w:eastAsia="zh-CN"/>
        </w:rPr>
        <w:t>胜利油田分公司临盘采油厂2015-2019年德州油区滚动开发建设项目</w:t>
      </w:r>
      <w:r>
        <w:rPr>
          <w:rFonts w:ascii="Times New Roman" w:hAnsi="Times New Roman"/>
          <w:bCs/>
          <w:color w:val="000000"/>
          <w:sz w:val="24"/>
        </w:rPr>
        <w:t>竣工环境保护验收调查</w:t>
      </w:r>
      <w:r>
        <w:rPr>
          <w:rFonts w:hint="eastAsia" w:ascii="Times New Roman" w:hAnsi="Times New Roman"/>
          <w:bCs/>
          <w:color w:val="000000"/>
          <w:sz w:val="24"/>
        </w:rPr>
        <w:t>报告</w:t>
      </w:r>
      <w:r>
        <w:rPr>
          <w:rFonts w:ascii="Times New Roman" w:hAnsi="Times New Roman"/>
          <w:bCs/>
          <w:color w:val="000000"/>
          <w:sz w:val="24"/>
        </w:rPr>
        <w:t>》。</w:t>
      </w: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2信息公开和公众意见反馈</w:t>
      </w:r>
    </w:p>
    <w:p>
      <w:pPr>
        <w:spacing w:after="0" w:line="360" w:lineRule="auto"/>
        <w:ind w:firstLine="562" w:firstLineChars="200"/>
        <w:jc w:val="both"/>
        <w:rPr>
          <w:rFonts w:ascii="Times New Roman" w:hAnsi="Times New Roman" w:eastAsiaTheme="minorEastAsia"/>
          <w:b/>
          <w:bCs/>
          <w:color w:val="000000" w:themeColor="text1"/>
          <w:sz w:val="28"/>
          <w:szCs w:val="28"/>
        </w:rPr>
      </w:pPr>
      <w:bookmarkStart w:id="0" w:name="_Hlk17754077"/>
      <w:r>
        <w:rPr>
          <w:rFonts w:ascii="Times New Roman" w:hAnsi="Times New Roman" w:eastAsiaTheme="minorEastAsia"/>
          <w:b/>
          <w:bCs/>
          <w:color w:val="000000" w:themeColor="text1"/>
          <w:sz w:val="28"/>
          <w:szCs w:val="28"/>
        </w:rPr>
        <w:t>2.1信息公开</w:t>
      </w:r>
    </w:p>
    <w:bookmarkEnd w:id="0"/>
    <w:p>
      <w:pPr>
        <w:spacing w:after="0"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t>20</w:t>
      </w:r>
      <w:r>
        <w:rPr>
          <w:rFonts w:hint="eastAsia" w:ascii="Times New Roman" w:hAnsi="Times New Roman" w:eastAsia="宋体"/>
          <w:sz w:val="24"/>
          <w:szCs w:val="24"/>
          <w:lang w:val="en-US" w:eastAsia="zh-CN"/>
        </w:rPr>
        <w:t>20</w:t>
      </w:r>
      <w:r>
        <w:rPr>
          <w:rFonts w:ascii="Times New Roman" w:hAnsi="Times New Roman" w:eastAsia="宋体"/>
          <w:sz w:val="24"/>
          <w:szCs w:val="24"/>
        </w:rPr>
        <w:t>年</w:t>
      </w:r>
      <w:r>
        <w:rPr>
          <w:rFonts w:hint="eastAsia" w:ascii="Times New Roman" w:hAnsi="Times New Roman" w:eastAsia="宋体"/>
          <w:sz w:val="24"/>
          <w:szCs w:val="24"/>
          <w:lang w:val="en-US" w:eastAsia="zh-CN"/>
        </w:rPr>
        <w:t>9</w:t>
      </w:r>
      <w:r>
        <w:rPr>
          <w:rFonts w:ascii="Times New Roman" w:hAnsi="Times New Roman" w:eastAsia="宋体"/>
          <w:sz w:val="24"/>
          <w:szCs w:val="24"/>
        </w:rPr>
        <w:t>月，</w:t>
      </w:r>
      <w:r>
        <w:rPr>
          <w:rFonts w:hint="eastAsia" w:ascii="Times New Roman" w:hAnsi="Times New Roman" w:eastAsia="宋体"/>
          <w:sz w:val="24"/>
          <w:szCs w:val="24"/>
          <w:lang w:eastAsia="zh-CN"/>
        </w:rPr>
        <w:t>临盘</w:t>
      </w:r>
      <w:r>
        <w:rPr>
          <w:rFonts w:ascii="Times New Roman" w:hAnsi="Times New Roman" w:eastAsia="宋体"/>
          <w:sz w:val="24"/>
          <w:szCs w:val="24"/>
        </w:rPr>
        <w:t>采油厂对该工程的竣工日期和调试起止日期进行了网上公示（http://slof.sinopec.com/slof/csr/hjbh/?tdsourcetag=s_pcqq_aiomsg）。</w:t>
      </w:r>
    </w:p>
    <w:p>
      <w:pPr>
        <w:spacing w:after="0" w:line="360" w:lineRule="auto"/>
        <w:ind w:firstLine="562" w:firstLineChars="200"/>
        <w:jc w:val="both"/>
        <w:rPr>
          <w:rFonts w:ascii="Times New Roman" w:hAnsi="Times New Roman" w:eastAsiaTheme="minorEastAsia"/>
          <w:b/>
          <w:bCs/>
          <w:color w:val="000000" w:themeColor="text1"/>
          <w:sz w:val="28"/>
          <w:szCs w:val="28"/>
        </w:rPr>
      </w:pPr>
      <w:r>
        <w:rPr>
          <w:rFonts w:ascii="Times New Roman" w:hAnsi="Times New Roman" w:eastAsiaTheme="minorEastAsia"/>
          <w:b/>
          <w:bCs/>
          <w:color w:val="000000" w:themeColor="text1"/>
          <w:sz w:val="28"/>
          <w:szCs w:val="28"/>
        </w:rPr>
        <w:t>2.2公众参与渠道</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rPr>
      </w:pPr>
      <w:r>
        <w:rPr>
          <w:rFonts w:ascii="Times New Roman" w:hAnsi="Times New Roman" w:eastAsiaTheme="minorEastAsia"/>
          <w:color w:val="000000" w:themeColor="text1"/>
          <w:kern w:val="2"/>
          <w:sz w:val="24"/>
          <w:szCs w:val="24"/>
        </w:rPr>
        <w:t>根据本项目特点和实际建设情况，</w:t>
      </w:r>
      <w:r>
        <w:rPr>
          <w:rFonts w:hint="eastAsia" w:ascii="Times New Roman" w:hAnsi="Times New Roman" w:eastAsiaTheme="minorEastAsia"/>
          <w:color w:val="000000" w:themeColor="text1"/>
          <w:kern w:val="2"/>
          <w:sz w:val="24"/>
          <w:szCs w:val="24"/>
          <w:lang w:eastAsia="zh-CN"/>
        </w:rPr>
        <w:t>临盘</w:t>
      </w:r>
      <w:r>
        <w:rPr>
          <w:rFonts w:ascii="Times New Roman" w:hAnsi="Times New Roman" w:eastAsiaTheme="minorEastAsia"/>
          <w:color w:val="000000" w:themeColor="text1"/>
          <w:kern w:val="2"/>
          <w:sz w:val="24"/>
          <w:szCs w:val="24"/>
        </w:rPr>
        <w:t>采油厂采用</w:t>
      </w:r>
      <w:r>
        <w:rPr>
          <w:rFonts w:hint="eastAsia" w:ascii="Times New Roman" w:hAnsi="Times New Roman" w:eastAsiaTheme="minorEastAsia"/>
          <w:color w:val="000000" w:themeColor="text1"/>
          <w:kern w:val="2"/>
          <w:sz w:val="24"/>
          <w:szCs w:val="24"/>
        </w:rPr>
        <w:t>问卷</w:t>
      </w:r>
      <w:r>
        <w:rPr>
          <w:rFonts w:ascii="Times New Roman" w:hAnsi="Times New Roman" w:eastAsiaTheme="minorEastAsia"/>
          <w:color w:val="000000" w:themeColor="text1"/>
          <w:kern w:val="2"/>
          <w:sz w:val="24"/>
          <w:szCs w:val="24"/>
        </w:rPr>
        <w:t>调查方式收集公众意见和建议。</w:t>
      </w:r>
    </w:p>
    <w:p>
      <w:pPr>
        <w:spacing w:after="0" w:line="360" w:lineRule="auto"/>
        <w:ind w:firstLine="562" w:firstLineChars="200"/>
        <w:jc w:val="both"/>
        <w:rPr>
          <w:rFonts w:ascii="Times New Roman" w:hAnsi="Times New Roman" w:eastAsiaTheme="minorEastAsia"/>
          <w:b/>
          <w:bCs/>
          <w:color w:val="000000" w:themeColor="text1"/>
          <w:sz w:val="28"/>
          <w:szCs w:val="28"/>
        </w:rPr>
      </w:pPr>
      <w:r>
        <w:rPr>
          <w:rFonts w:ascii="Times New Roman" w:hAnsi="Times New Roman" w:eastAsiaTheme="minorEastAsia"/>
          <w:b/>
          <w:bCs/>
          <w:color w:val="000000" w:themeColor="text1"/>
          <w:sz w:val="28"/>
          <w:szCs w:val="28"/>
        </w:rPr>
        <w:t>2.3公众意见处理</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rPr>
      </w:pPr>
      <w:r>
        <w:rPr>
          <w:rFonts w:hint="eastAsia" w:ascii="Times New Roman" w:hAnsi="Times New Roman" w:eastAsiaTheme="minorEastAsia"/>
          <w:color w:val="000000" w:themeColor="text1"/>
          <w:kern w:val="2"/>
          <w:sz w:val="24"/>
          <w:szCs w:val="24"/>
          <w:lang w:eastAsia="zh-CN"/>
        </w:rPr>
        <w:t>临盘</w:t>
      </w:r>
      <w:r>
        <w:rPr>
          <w:rFonts w:ascii="Times New Roman" w:hAnsi="Times New Roman" w:eastAsiaTheme="minorEastAsia"/>
          <w:color w:val="000000" w:themeColor="text1"/>
          <w:kern w:val="2"/>
          <w:sz w:val="24"/>
          <w:szCs w:val="24"/>
        </w:rPr>
        <w:t>采油厂承诺会严格记录公众反馈意见或投诉、收到时间、渠道以及反馈或投诉的内容，并及时处理或解决公众意见，给出采纳与否的情况说明。</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rPr>
      </w:pPr>
      <w:r>
        <w:rPr>
          <w:rFonts w:ascii="Times New Roman" w:hAnsi="Times New Roman" w:eastAsiaTheme="minorEastAsia"/>
          <w:color w:val="000000" w:themeColor="text1"/>
          <w:kern w:val="2"/>
          <w:sz w:val="24"/>
          <w:szCs w:val="24"/>
        </w:rPr>
        <w:t>本项目建设工程、验收调查期间未收到公众意见或投诉，表明公众支持该项目的建设和运营。</w:t>
      </w:r>
    </w:p>
    <w:p>
      <w:pPr>
        <w:spacing w:after="0" w:line="360" w:lineRule="auto"/>
        <w:ind w:firstLine="643" w:firstLineChars="200"/>
        <w:jc w:val="both"/>
        <w:rPr>
          <w:rFonts w:ascii="Times New Roman" w:hAnsi="Times New Roman" w:eastAsiaTheme="minorEastAsia"/>
          <w:b/>
          <w:bCs/>
          <w:color w:val="000000" w:themeColor="text1"/>
          <w:sz w:val="32"/>
          <w:szCs w:val="32"/>
        </w:rPr>
      </w:pPr>
      <w:r>
        <w:rPr>
          <w:rFonts w:ascii="Times New Roman" w:hAnsi="Times New Roman" w:eastAsiaTheme="minorEastAsia"/>
          <w:b/>
          <w:bCs/>
          <w:color w:val="000000" w:themeColor="text1"/>
          <w:sz w:val="32"/>
          <w:szCs w:val="32"/>
        </w:rPr>
        <w:t>3其他环境措施的落实情况</w:t>
      </w:r>
    </w:p>
    <w:p>
      <w:pPr>
        <w:spacing w:after="0" w:line="360" w:lineRule="auto"/>
        <w:ind w:firstLine="562" w:firstLineChars="200"/>
        <w:jc w:val="both"/>
        <w:rPr>
          <w:rFonts w:ascii="Times New Roman" w:hAnsi="Times New Roman" w:eastAsiaTheme="minorEastAsia"/>
          <w:b/>
          <w:bCs/>
          <w:color w:val="000000" w:themeColor="text1"/>
          <w:sz w:val="28"/>
          <w:szCs w:val="28"/>
        </w:rPr>
      </w:pPr>
      <w:r>
        <w:rPr>
          <w:rFonts w:ascii="Times New Roman" w:hAnsi="Times New Roman" w:eastAsiaTheme="minorEastAsia"/>
          <w:b/>
          <w:bCs/>
          <w:color w:val="000000" w:themeColor="text1"/>
          <w:sz w:val="28"/>
          <w:szCs w:val="28"/>
        </w:rPr>
        <w:t>3.1制度措施落实情况</w:t>
      </w:r>
    </w:p>
    <w:p>
      <w:pPr>
        <w:spacing w:after="0" w:line="360" w:lineRule="auto"/>
        <w:ind w:firstLine="723" w:firstLineChars="300"/>
        <w:jc w:val="both"/>
        <w:rPr>
          <w:rFonts w:ascii="Times New Roman" w:hAnsi="Times New Roman" w:eastAsiaTheme="minorEastAsia"/>
          <w:b/>
          <w:bCs/>
          <w:color w:val="000000" w:themeColor="text1"/>
          <w:sz w:val="24"/>
          <w:szCs w:val="24"/>
        </w:rPr>
      </w:pPr>
      <w:r>
        <w:rPr>
          <w:rFonts w:ascii="Times New Roman" w:hAnsi="Times New Roman" w:eastAsiaTheme="minorEastAsia"/>
          <w:b/>
          <w:bCs/>
          <w:color w:val="000000" w:themeColor="text1"/>
          <w:sz w:val="24"/>
          <w:szCs w:val="24"/>
        </w:rPr>
        <w:t>3.1.1环保组织机构</w:t>
      </w:r>
    </w:p>
    <w:p>
      <w:pPr>
        <w:widowControl w:val="0"/>
        <w:spacing w:after="0" w:line="360" w:lineRule="auto"/>
        <w:ind w:firstLine="480" w:firstLineChars="200"/>
        <w:jc w:val="both"/>
        <w:rPr>
          <w:rFonts w:ascii="Times New Roman" w:hAnsi="Times New Roman" w:eastAsiaTheme="minorEastAsia"/>
          <w:color w:val="000000" w:themeColor="text1"/>
          <w:sz w:val="24"/>
          <w:szCs w:val="24"/>
        </w:rPr>
      </w:pPr>
      <w:r>
        <w:rPr>
          <w:rFonts w:hint="eastAsia" w:ascii="Times New Roman" w:hAnsi="Times New Roman" w:eastAsiaTheme="minorEastAsia"/>
          <w:color w:val="000000" w:themeColor="text1"/>
          <w:sz w:val="24"/>
          <w:szCs w:val="24"/>
          <w:lang w:eastAsia="zh-CN"/>
        </w:rPr>
        <w:t>临盘</w:t>
      </w:r>
      <w:r>
        <w:rPr>
          <w:rFonts w:hint="eastAsia" w:ascii="Times New Roman" w:hAnsi="Times New Roman" w:eastAsiaTheme="minorEastAsia"/>
          <w:color w:val="000000" w:themeColor="text1"/>
          <w:sz w:val="24"/>
          <w:szCs w:val="24"/>
        </w:rPr>
        <w:t>采油厂</w:t>
      </w:r>
      <w:r>
        <w:rPr>
          <w:rFonts w:hint="eastAsia" w:ascii="Times New Roman" w:hAnsi="Times New Roman" w:eastAsiaTheme="minorEastAsia"/>
          <w:color w:val="000000" w:themeColor="text1"/>
          <w:sz w:val="24"/>
          <w:szCs w:val="24"/>
          <w:lang w:eastAsia="zh-CN"/>
        </w:rPr>
        <w:t>QHSSE管理部</w:t>
      </w:r>
      <w:r>
        <w:rPr>
          <w:rFonts w:hint="eastAsia" w:ascii="Times New Roman" w:hAnsi="Times New Roman" w:eastAsiaTheme="minorEastAsia"/>
          <w:color w:val="000000" w:themeColor="text1"/>
          <w:sz w:val="24"/>
          <w:szCs w:val="24"/>
        </w:rPr>
        <w:t>负责全厂环保专业技术综合管理，机关各业务部门按各自环保管理职责负责分管业务范围内的环保管理。厂所属各单位、直属单位按全公司环保管理实施细则负责本单位环保管理。</w:t>
      </w:r>
    </w:p>
    <w:p>
      <w:pPr>
        <w:widowControl w:val="0"/>
        <w:spacing w:after="0" w:line="360" w:lineRule="auto"/>
        <w:ind w:firstLine="480" w:firstLineChars="200"/>
        <w:jc w:val="both"/>
        <w:rPr>
          <w:rFonts w:ascii="Times New Roman" w:hAnsi="Times New Roman" w:eastAsiaTheme="minorEastAsia"/>
          <w:color w:val="000000" w:themeColor="text1"/>
          <w:sz w:val="24"/>
          <w:szCs w:val="24"/>
        </w:rPr>
      </w:pPr>
      <w:r>
        <w:rPr>
          <w:rFonts w:hint="eastAsia" w:ascii="Times New Roman" w:hAnsi="Times New Roman" w:eastAsiaTheme="minorEastAsia"/>
          <w:color w:val="000000" w:themeColor="text1"/>
          <w:sz w:val="24"/>
          <w:szCs w:val="24"/>
        </w:rPr>
        <w:t>在施工期，项目管理部门设置专门的环保岗位，配备一名环保专业人员，负责监督各项环保措施的落实及环保工程的检查和预验收，负责协调与环保、土地等部门的关系，以及负责有关环保文件、集输资料的收集建档。由项目经理部委托工程监理单位，监督设计单位和施工单位具体落实环保措施的实施。</w:t>
      </w:r>
    </w:p>
    <w:p>
      <w:pPr>
        <w:widowControl w:val="0"/>
        <w:spacing w:after="0" w:line="360" w:lineRule="auto"/>
        <w:ind w:firstLine="480" w:firstLineChars="200"/>
        <w:jc w:val="both"/>
        <w:rPr>
          <w:rFonts w:ascii="Times New Roman" w:hAnsi="Times New Roman" w:eastAsiaTheme="minorEastAsia"/>
          <w:color w:val="000000" w:themeColor="text1"/>
          <w:sz w:val="24"/>
          <w:szCs w:val="24"/>
        </w:rPr>
      </w:pPr>
      <w:r>
        <w:rPr>
          <w:rFonts w:hint="eastAsia" w:ascii="Times New Roman" w:hAnsi="Times New Roman" w:eastAsiaTheme="minorEastAsia"/>
          <w:color w:val="000000" w:themeColor="text1"/>
          <w:sz w:val="24"/>
          <w:szCs w:val="24"/>
        </w:rPr>
        <w:t>生产运营期，由采油厂</w:t>
      </w:r>
      <w:r>
        <w:rPr>
          <w:rFonts w:hint="eastAsia" w:ascii="Times New Roman" w:hAnsi="Times New Roman" w:eastAsiaTheme="minorEastAsia"/>
          <w:color w:val="000000" w:themeColor="text1"/>
          <w:sz w:val="24"/>
          <w:szCs w:val="24"/>
          <w:lang w:eastAsia="zh-CN"/>
        </w:rPr>
        <w:t>QHSSE管理部</w:t>
      </w:r>
      <w:r>
        <w:rPr>
          <w:rFonts w:hint="eastAsia" w:ascii="Times New Roman" w:hAnsi="Times New Roman" w:eastAsiaTheme="minorEastAsia"/>
          <w:color w:val="000000" w:themeColor="text1"/>
          <w:sz w:val="24"/>
          <w:szCs w:val="24"/>
        </w:rPr>
        <w:t>统一负责本项目的环保管理工作，在井区内设置专职环保员，负责环保文件和技术资料的归档，协助有关环保部门进行环保工程的验收，负责运营期间的环境监测、事故防范和外部协调工作</w:t>
      </w:r>
      <w:r>
        <w:rPr>
          <w:rFonts w:ascii="Times New Roman" w:hAnsi="Times New Roman" w:eastAsiaTheme="minorEastAsia"/>
          <w:color w:val="000000" w:themeColor="text1"/>
          <w:sz w:val="24"/>
          <w:szCs w:val="24"/>
        </w:rPr>
        <w:t>。</w:t>
      </w:r>
    </w:p>
    <w:p>
      <w:pPr>
        <w:spacing w:after="0" w:line="360" w:lineRule="auto"/>
        <w:ind w:firstLine="723" w:firstLineChars="300"/>
        <w:jc w:val="both"/>
        <w:rPr>
          <w:rFonts w:ascii="Times New Roman" w:hAnsi="Times New Roman" w:eastAsiaTheme="minorEastAsia"/>
          <w:b/>
          <w:bCs/>
          <w:color w:val="000000" w:themeColor="text1"/>
          <w:sz w:val="24"/>
          <w:szCs w:val="24"/>
        </w:rPr>
      </w:pPr>
      <w:r>
        <w:rPr>
          <w:rFonts w:ascii="Times New Roman" w:hAnsi="Times New Roman" w:eastAsiaTheme="minorEastAsia"/>
          <w:b/>
          <w:bCs/>
          <w:color w:val="000000" w:themeColor="text1"/>
          <w:sz w:val="24"/>
          <w:szCs w:val="24"/>
        </w:rPr>
        <w:t>3.1.2环境风险防范措施</w:t>
      </w:r>
    </w:p>
    <w:p>
      <w:pPr>
        <w:spacing w:line="480" w:lineRule="exact"/>
        <w:ind w:firstLine="480" w:firstLineChars="200"/>
        <w:rPr>
          <w:rFonts w:ascii="Times New Roman" w:hAnsi="Times New Roman" w:eastAsia="宋体"/>
          <w:sz w:val="24"/>
          <w:szCs w:val="24"/>
        </w:rPr>
      </w:pPr>
      <w:r>
        <w:rPr>
          <w:rFonts w:ascii="Times New Roman" w:hAnsi="Times New Roman" w:eastAsia="宋体"/>
          <w:sz w:val="24"/>
          <w:szCs w:val="24"/>
        </w:rPr>
        <w:t>项目的风险事故主要是井场的井喷事故，运营期管线穿孔、破裂造成的泄漏事故对环境的影响。针对油田开发存在的各种风险事故，</w:t>
      </w:r>
      <w:r>
        <w:rPr>
          <w:rFonts w:hint="eastAsia" w:ascii="Times New Roman" w:hAnsi="Times New Roman" w:eastAsia="宋体"/>
          <w:sz w:val="24"/>
          <w:szCs w:val="24"/>
          <w:lang w:eastAsia="zh-CN"/>
        </w:rPr>
        <w:t>临盘</w:t>
      </w:r>
      <w:r>
        <w:rPr>
          <w:rFonts w:ascii="Times New Roman" w:hAnsi="Times New Roman" w:eastAsia="宋体"/>
          <w:sz w:val="24"/>
          <w:szCs w:val="24"/>
        </w:rPr>
        <w:t>采油厂在工艺设计、设备选型、施工监理管理等各环节方面都采取了大量行之有效的防范措施，并制定了《胜利油田分公司</w:t>
      </w:r>
      <w:r>
        <w:rPr>
          <w:rFonts w:hint="eastAsia" w:ascii="Times New Roman" w:hAnsi="Times New Roman" w:eastAsia="宋体"/>
          <w:sz w:val="24"/>
          <w:szCs w:val="24"/>
          <w:lang w:eastAsia="zh-CN"/>
        </w:rPr>
        <w:t>临盘</w:t>
      </w:r>
      <w:r>
        <w:rPr>
          <w:rFonts w:ascii="Times New Roman" w:hAnsi="Times New Roman" w:eastAsia="宋体"/>
          <w:sz w:val="24"/>
          <w:szCs w:val="24"/>
        </w:rPr>
        <w:t>采油厂</w:t>
      </w:r>
      <w:r>
        <w:rPr>
          <w:rFonts w:hint="eastAsia" w:ascii="Times New Roman" w:hAnsi="Times New Roman" w:eastAsia="宋体"/>
          <w:sz w:val="24"/>
          <w:szCs w:val="24"/>
          <w:lang w:val="en-US" w:eastAsia="zh-CN"/>
        </w:rPr>
        <w:t>临邑县</w:t>
      </w:r>
      <w:r>
        <w:rPr>
          <w:rFonts w:ascii="Times New Roman" w:hAnsi="Times New Roman" w:eastAsia="宋体"/>
          <w:sz w:val="24"/>
          <w:szCs w:val="24"/>
        </w:rPr>
        <w:t>区域突发环境事件应急预案》，已在</w:t>
      </w:r>
      <w:r>
        <w:rPr>
          <w:rFonts w:hint="eastAsia" w:ascii="Times New Roman" w:hAnsi="Times New Roman" w:eastAsia="宋体"/>
          <w:sz w:val="24"/>
          <w:szCs w:val="24"/>
          <w:lang w:val="en-US" w:eastAsia="zh-CN"/>
        </w:rPr>
        <w:t>德州市生态环境局临邑分局</w:t>
      </w:r>
      <w:r>
        <w:rPr>
          <w:rFonts w:ascii="Times New Roman" w:hAnsi="Times New Roman" w:eastAsia="宋体"/>
          <w:sz w:val="24"/>
          <w:szCs w:val="24"/>
        </w:rPr>
        <w:t>备案（备案编号：</w:t>
      </w:r>
      <w:r>
        <w:rPr>
          <w:rFonts w:hint="eastAsia" w:ascii="Times New Roman" w:hAnsi="Times New Roman" w:eastAsia="宋体"/>
          <w:sz w:val="24"/>
          <w:szCs w:val="24"/>
          <w:lang w:val="en-US" w:eastAsia="zh-CN"/>
        </w:rPr>
        <w:t>371424-2020-013</w:t>
      </w:r>
      <w:r>
        <w:rPr>
          <w:rFonts w:ascii="Times New Roman" w:hAnsi="Times New Roman" w:eastAsia="宋体"/>
          <w:sz w:val="24"/>
          <w:szCs w:val="24"/>
        </w:rPr>
        <w:t>）。</w:t>
      </w:r>
    </w:p>
    <w:p>
      <w:pPr>
        <w:spacing w:after="0" w:line="360" w:lineRule="auto"/>
        <w:ind w:firstLine="480" w:firstLineChars="200"/>
        <w:rPr>
          <w:rFonts w:ascii="Times New Roman" w:hAnsi="Times New Roman" w:eastAsiaTheme="minorEastAsia"/>
          <w:color w:val="000000" w:themeColor="text1"/>
          <w:sz w:val="24"/>
          <w:szCs w:val="24"/>
        </w:rPr>
      </w:pPr>
      <w:r>
        <w:rPr>
          <w:rFonts w:ascii="Times New Roman" w:hAnsi="Times New Roman" w:eastAsia="宋体"/>
          <w:sz w:val="24"/>
          <w:szCs w:val="24"/>
        </w:rPr>
        <w:t>从现场调查的情况看，项目各站场及各基层采油队工作纪律都比较严明，工作人员持证上岗，外来人员进入站场都必须经上级部门批准，且应进行详细登记记录， 站场及外输管线都制定了巡检制度，由专人对各设备的工作状态进行检查。项目自运营以来，尚未发生过对环境影响较大的火灾、爆炸及管线泄露等风险事故，说明建设单位采取的环境风险防范措施是较为有效的</w:t>
      </w:r>
      <w:r>
        <w:rPr>
          <w:rFonts w:ascii="Times New Roman" w:hAnsi="Times New Roman" w:eastAsiaTheme="minorEastAsia"/>
          <w:color w:val="000000" w:themeColor="text1"/>
          <w:sz w:val="24"/>
          <w:szCs w:val="24"/>
        </w:rPr>
        <w:t>。</w:t>
      </w:r>
    </w:p>
    <w:p>
      <w:pPr>
        <w:spacing w:after="0" w:line="360" w:lineRule="auto"/>
        <w:ind w:firstLine="482" w:firstLineChars="200"/>
        <w:rPr>
          <w:rFonts w:ascii="Times New Roman" w:hAnsi="Times New Roman"/>
          <w:bCs/>
          <w:sz w:val="24"/>
          <w:lang w:val="zh-CN"/>
        </w:rPr>
      </w:pPr>
      <w:r>
        <w:rPr>
          <w:rFonts w:ascii="Times New Roman" w:hAnsi="Times New Roman" w:eastAsiaTheme="minorEastAsia"/>
          <w:b/>
          <w:bCs/>
          <w:color w:val="000000" w:themeColor="text1"/>
          <w:sz w:val="24"/>
          <w:szCs w:val="24"/>
        </w:rPr>
        <w:t>3.1.3采取的清洁生产措施</w:t>
      </w:r>
    </w:p>
    <w:p>
      <w:pPr>
        <w:spacing w:after="0" w:line="360" w:lineRule="auto"/>
        <w:ind w:firstLine="480" w:firstLineChars="200"/>
        <w:jc w:val="both"/>
        <w:rPr>
          <w:rFonts w:ascii="Times New Roman" w:hAnsi="Times New Roman" w:eastAsiaTheme="minorEastAsia"/>
          <w:color w:val="000000" w:themeColor="text1"/>
          <w:sz w:val="24"/>
          <w:szCs w:val="24"/>
        </w:rPr>
      </w:pPr>
      <w:r>
        <w:rPr>
          <w:rFonts w:ascii="Times New Roman" w:hAnsi="Times New Roman" w:eastAsiaTheme="minorEastAsia"/>
          <w:color w:val="000000" w:themeColor="text1"/>
          <w:sz w:val="24"/>
          <w:szCs w:val="24"/>
        </w:rPr>
        <w:t>该项目在钻井、作业等多方面均采取了大量的清洁生产工艺装备，减少了资源、能源的消耗，削减了废弃物的产生量。按照清洁生产各项指标评定，可以达到二级以上水平，符合国家清洁生产的要求。</w:t>
      </w:r>
    </w:p>
    <w:p>
      <w:pPr>
        <w:spacing w:after="0" w:line="360" w:lineRule="auto"/>
        <w:ind w:firstLine="562" w:firstLineChars="200"/>
        <w:jc w:val="both"/>
        <w:rPr>
          <w:rFonts w:ascii="Times New Roman" w:hAnsi="Times New Roman" w:eastAsiaTheme="minorEastAsia"/>
          <w:b/>
          <w:bCs/>
          <w:color w:val="000000" w:themeColor="text1"/>
          <w:sz w:val="28"/>
          <w:szCs w:val="28"/>
        </w:rPr>
      </w:pPr>
      <w:r>
        <w:rPr>
          <w:rFonts w:ascii="Times New Roman" w:hAnsi="Times New Roman" w:eastAsiaTheme="minorEastAsia"/>
          <w:b/>
          <w:bCs/>
          <w:color w:val="000000" w:themeColor="text1"/>
          <w:sz w:val="28"/>
          <w:szCs w:val="28"/>
        </w:rPr>
        <w:t>3.2环境保护措施落实情况</w:t>
      </w:r>
    </w:p>
    <w:p>
      <w:pPr>
        <w:spacing w:after="0" w:line="360" w:lineRule="auto"/>
        <w:ind w:firstLine="723" w:firstLineChars="300"/>
        <w:jc w:val="both"/>
        <w:rPr>
          <w:rFonts w:ascii="Times New Roman" w:hAnsi="Times New Roman" w:eastAsiaTheme="minorEastAsia"/>
          <w:b/>
          <w:bCs/>
          <w:color w:val="000000" w:themeColor="text1"/>
          <w:sz w:val="24"/>
          <w:szCs w:val="24"/>
        </w:rPr>
      </w:pPr>
      <w:r>
        <w:rPr>
          <w:rFonts w:ascii="Times New Roman" w:hAnsi="Times New Roman" w:eastAsiaTheme="minorEastAsia"/>
          <w:b/>
          <w:bCs/>
          <w:color w:val="000000" w:themeColor="text1"/>
          <w:sz w:val="24"/>
          <w:szCs w:val="24"/>
        </w:rPr>
        <w:t>3.2.1 生态环境保护措施落实情况</w:t>
      </w:r>
    </w:p>
    <w:p>
      <w:pPr>
        <w:spacing w:after="0" w:line="360" w:lineRule="auto"/>
        <w:ind w:firstLine="720" w:firstLineChars="300"/>
        <w:jc w:val="both"/>
        <w:rPr>
          <w:rFonts w:ascii="Times New Roman" w:hAnsi="Times New Roman" w:eastAsiaTheme="minorEastAsia"/>
          <w:color w:val="000000" w:themeColor="text1"/>
          <w:sz w:val="24"/>
          <w:szCs w:val="24"/>
          <w:lang w:val="zh-CN"/>
        </w:rPr>
      </w:pPr>
      <w:r>
        <w:rPr>
          <w:rFonts w:ascii="Times New Roman" w:hAnsi="Times New Roman" w:eastAsiaTheme="minorEastAsia"/>
          <w:color w:val="000000" w:themeColor="text1"/>
          <w:sz w:val="24"/>
          <w:szCs w:val="24"/>
          <w:lang w:val="zh-CN"/>
        </w:rPr>
        <w:t>经实地调查，工程永久占地共计</w:t>
      </w:r>
      <w:r>
        <w:rPr>
          <w:rFonts w:hint="eastAsia" w:ascii="Times New Roman" w:hAnsi="Times New Roman" w:eastAsiaTheme="minorEastAsia"/>
          <w:color w:val="000000" w:themeColor="text1"/>
          <w:sz w:val="24"/>
          <w:szCs w:val="24"/>
          <w:lang w:val="en-US" w:eastAsia="zh-CN"/>
        </w:rPr>
        <w:t>32.5</w:t>
      </w:r>
      <w:r>
        <w:rPr>
          <w:rFonts w:ascii="Times New Roman" w:hAnsi="Times New Roman" w:eastAsiaTheme="minorEastAsia"/>
          <w:color w:val="000000" w:themeColor="text1"/>
          <w:sz w:val="24"/>
          <w:szCs w:val="24"/>
          <w:lang w:val="zh-CN"/>
        </w:rPr>
        <w:t>hm</w:t>
      </w:r>
      <w:r>
        <w:rPr>
          <w:rFonts w:ascii="Times New Roman" w:hAnsi="Times New Roman" w:eastAsiaTheme="minorEastAsia"/>
          <w:color w:val="000000" w:themeColor="text1"/>
          <w:sz w:val="24"/>
          <w:szCs w:val="24"/>
          <w:vertAlign w:val="superscript"/>
          <w:lang w:val="zh-CN"/>
        </w:rPr>
        <w:t>2</w:t>
      </w:r>
      <w:r>
        <w:rPr>
          <w:rFonts w:ascii="Times New Roman" w:hAnsi="Times New Roman" w:eastAsiaTheme="minorEastAsia"/>
          <w:color w:val="000000" w:themeColor="text1"/>
          <w:sz w:val="24"/>
          <w:szCs w:val="24"/>
          <w:lang w:val="zh-CN"/>
        </w:rPr>
        <w:t>，主要为井场、道路等占地。工程临时占地</w:t>
      </w:r>
      <w:r>
        <w:rPr>
          <w:rFonts w:hint="eastAsia" w:ascii="Times New Roman" w:hAnsi="Times New Roman" w:eastAsiaTheme="minorEastAsia"/>
          <w:color w:val="000000" w:themeColor="text1"/>
          <w:sz w:val="24"/>
          <w:szCs w:val="24"/>
          <w:lang w:val="en-US" w:eastAsia="zh-CN"/>
        </w:rPr>
        <w:t>113.75</w:t>
      </w:r>
      <w:r>
        <w:rPr>
          <w:rFonts w:ascii="Times New Roman" w:hAnsi="Times New Roman" w:eastAsiaTheme="minorEastAsia"/>
          <w:color w:val="000000" w:themeColor="text1"/>
          <w:sz w:val="24"/>
          <w:szCs w:val="24"/>
          <w:lang w:val="zh-CN"/>
        </w:rPr>
        <w:t>hm</w:t>
      </w:r>
      <w:r>
        <w:rPr>
          <w:rFonts w:ascii="Times New Roman" w:hAnsi="Times New Roman" w:eastAsiaTheme="minorEastAsia"/>
          <w:color w:val="000000" w:themeColor="text1"/>
          <w:sz w:val="24"/>
          <w:szCs w:val="24"/>
          <w:vertAlign w:val="superscript"/>
          <w:lang w:val="zh-CN"/>
        </w:rPr>
        <w:t>2</w:t>
      </w:r>
      <w:r>
        <w:rPr>
          <w:rFonts w:ascii="Times New Roman" w:hAnsi="Times New Roman" w:eastAsiaTheme="minorEastAsia"/>
          <w:color w:val="000000" w:themeColor="text1"/>
          <w:sz w:val="24"/>
          <w:szCs w:val="24"/>
          <w:lang w:val="zh-CN"/>
        </w:rPr>
        <w:t>，主要包括施工作业带、井场临时占地等。占地类型主要是耕地和草地。根据现场调查，项目占地未对当地土地利用格局产生明显影响，井场周围植被长势良好，基本恢复了地表植被原貌，且与周边未进行产能开发建设区域的自然状态植被对照，无论种类、覆盖度均未有显著差异。</w:t>
      </w:r>
    </w:p>
    <w:p>
      <w:pPr>
        <w:spacing w:after="0" w:line="360" w:lineRule="auto"/>
        <w:ind w:firstLine="720" w:firstLineChars="300"/>
        <w:jc w:val="both"/>
        <w:rPr>
          <w:rFonts w:ascii="Times New Roman" w:hAnsi="Times New Roman" w:eastAsiaTheme="minorEastAsia"/>
          <w:color w:val="000000" w:themeColor="text1"/>
          <w:sz w:val="24"/>
          <w:szCs w:val="24"/>
          <w:lang w:val="zh-CN"/>
        </w:rPr>
      </w:pPr>
      <w:r>
        <w:rPr>
          <w:rFonts w:ascii="Times New Roman" w:hAnsi="Times New Roman" w:eastAsiaTheme="minorEastAsia"/>
          <w:color w:val="000000" w:themeColor="text1"/>
          <w:sz w:val="24"/>
          <w:szCs w:val="24"/>
          <w:lang w:val="zh-CN"/>
        </w:rPr>
        <w:t>从监测结果可以看出，验收监测期间，井场内和井场外对照点的pH、石油烃的监测值大致相当，说明井场内没有受到项目特征污染物的影响；各监测点的监测因子指标浓度基本低于《土壤环境质量 建设用地土壤污染风险管控标准》（GB36600-2018）标准限值要求；石油烃类井场内的浓度和井场外对照点的监测值均低于500mg/kg，满足《关于印发&lt;全国土壤污染状况评价技术规定&gt;》（环发〔2008〕39号）中表2规定的标准限值要求。井场外土壤环境满足《土壤环境质量 农用地土壤污染风险管控标准》（GB15618-2018）表1中的风险筛选值的要求，石油烃类满足《关于印发&lt;全国土壤污染状况评价技术规定&gt;》（环发〔2008〕39号）中表2规定的标准限值要求，说明项目运行以后，验收区域内土壤环境质量较好。</w:t>
      </w:r>
    </w:p>
    <w:p>
      <w:pPr>
        <w:spacing w:after="0" w:line="360" w:lineRule="auto"/>
        <w:ind w:firstLine="723" w:firstLineChars="300"/>
        <w:jc w:val="both"/>
        <w:rPr>
          <w:rFonts w:ascii="Times New Roman" w:hAnsi="Times New Roman" w:eastAsiaTheme="minorEastAsia"/>
          <w:b/>
          <w:bCs/>
          <w:color w:val="000000" w:themeColor="text1"/>
          <w:sz w:val="24"/>
          <w:szCs w:val="24"/>
        </w:rPr>
      </w:pPr>
      <w:r>
        <w:rPr>
          <w:rFonts w:ascii="Times New Roman" w:hAnsi="Times New Roman" w:eastAsiaTheme="minorEastAsia"/>
          <w:b/>
          <w:bCs/>
          <w:color w:val="000000" w:themeColor="text1"/>
          <w:sz w:val="24"/>
          <w:szCs w:val="24"/>
        </w:rPr>
        <w:t>3.2.2 大气环境保护措施落实情况</w:t>
      </w:r>
    </w:p>
    <w:p>
      <w:pPr>
        <w:pStyle w:val="26"/>
        <w:spacing w:line="331" w:lineRule="auto"/>
        <w:ind w:firstLine="480"/>
        <w:rPr>
          <w:rFonts w:ascii="Times New Roman" w:eastAsiaTheme="minorEastAsia"/>
          <w:color w:val="000000" w:themeColor="text1"/>
          <w:sz w:val="24"/>
          <w:szCs w:val="24"/>
        </w:rPr>
      </w:pPr>
      <w:r>
        <w:rPr>
          <w:rFonts w:ascii="Times New Roman" w:eastAsiaTheme="minorEastAsia"/>
          <w:color w:val="000000" w:themeColor="text1"/>
          <w:sz w:val="24"/>
          <w:szCs w:val="24"/>
        </w:rPr>
        <w:t>项目在施工期采取的措施有：原材料运输、堆放采取遮盖措施；场地上弃渣废料及时清理，同时对场地采取洒水降尘；加强施工管理，尽可能缩短施工周期。</w:t>
      </w:r>
    </w:p>
    <w:p>
      <w:pPr>
        <w:pStyle w:val="26"/>
        <w:spacing w:line="331" w:lineRule="auto"/>
        <w:ind w:firstLine="480"/>
        <w:rPr>
          <w:rFonts w:ascii="Times New Roman" w:eastAsiaTheme="minorEastAsia"/>
          <w:color w:val="000000" w:themeColor="text1"/>
          <w:sz w:val="24"/>
          <w:szCs w:val="24"/>
        </w:rPr>
      </w:pPr>
      <w:r>
        <w:rPr>
          <w:rFonts w:ascii="Times New Roman" w:eastAsiaTheme="minorEastAsia"/>
          <w:color w:val="000000" w:themeColor="text1"/>
          <w:sz w:val="24"/>
          <w:szCs w:val="24"/>
        </w:rPr>
        <w:t>运营期大气污染防治措施如下：</w:t>
      </w:r>
    </w:p>
    <w:p>
      <w:pPr>
        <w:pStyle w:val="26"/>
        <w:spacing w:line="331" w:lineRule="auto"/>
        <w:ind w:firstLine="480"/>
        <w:rPr>
          <w:rFonts w:ascii="Times New Roman" w:eastAsiaTheme="minorEastAsia"/>
          <w:color w:val="000000" w:themeColor="text1"/>
          <w:sz w:val="24"/>
          <w:szCs w:val="24"/>
        </w:rPr>
      </w:pPr>
      <w:r>
        <w:rPr>
          <w:rFonts w:ascii="Times New Roman" w:eastAsiaTheme="minorEastAsia"/>
          <w:color w:val="000000" w:themeColor="text1"/>
          <w:sz w:val="24"/>
          <w:szCs w:val="24"/>
        </w:rPr>
        <w:t>本项目采取的措施：油气集输过程采用密闭工艺，对采油井套管采取“分类治理”。对于液面不在井口，产生气量较小，安装闸门不影响生产的井，采取了安装套管闸门、丝堵方式解决；对于产生气量较大，安装闸门影响生产的井，采取了焊接油套联通气回收装置，回收的气体作为井口和站场加热炉用气；少数单井拉油时采用液下装车，使用密闭罐车拉运。本项目井场卫生防护距离（井场周围100米）内不存在敏感目标。</w:t>
      </w:r>
    </w:p>
    <w:p>
      <w:pPr>
        <w:pStyle w:val="26"/>
        <w:spacing w:line="331" w:lineRule="auto"/>
        <w:ind w:firstLine="480"/>
        <w:rPr>
          <w:rFonts w:ascii="Times New Roman" w:eastAsiaTheme="minorEastAsia"/>
          <w:color w:val="000000" w:themeColor="text1"/>
          <w:sz w:val="24"/>
          <w:szCs w:val="24"/>
        </w:rPr>
      </w:pPr>
      <w:r>
        <w:rPr>
          <w:rFonts w:ascii="Times New Roman" w:eastAsiaTheme="minorEastAsia"/>
          <w:color w:val="000000" w:themeColor="text1"/>
          <w:sz w:val="24"/>
          <w:szCs w:val="24"/>
        </w:rPr>
        <w:t>由监测结果可以看出：</w:t>
      </w:r>
    </w:p>
    <w:p>
      <w:pPr>
        <w:pStyle w:val="26"/>
        <w:spacing w:line="331" w:lineRule="auto"/>
        <w:ind w:firstLine="480"/>
        <w:rPr>
          <w:rFonts w:ascii="Times New Roman" w:eastAsiaTheme="minorEastAsia"/>
          <w:color w:val="000000" w:themeColor="text1"/>
          <w:sz w:val="24"/>
          <w:szCs w:val="24"/>
        </w:rPr>
      </w:pPr>
      <w:r>
        <w:rPr>
          <w:rFonts w:ascii="Times New Roman" w:eastAsiaTheme="minorEastAsia"/>
          <w:color w:val="000000" w:themeColor="text1"/>
          <w:sz w:val="24"/>
          <w:szCs w:val="24"/>
        </w:rPr>
        <w:t>（1）无组织废气：典型井场正常营运期间厂界下风向各监控点非甲烷总烃最高浓度不大于</w:t>
      </w:r>
      <w:r>
        <w:rPr>
          <w:rFonts w:hint="eastAsia" w:ascii="Times New Roman" w:eastAsiaTheme="minorEastAsia"/>
          <w:color w:val="000000" w:themeColor="text1"/>
          <w:sz w:val="24"/>
          <w:szCs w:val="24"/>
          <w:lang w:val="en-US" w:eastAsia="zh-CN"/>
        </w:rPr>
        <w:t>2.0</w:t>
      </w:r>
      <w:r>
        <w:rPr>
          <w:rFonts w:ascii="Times New Roman" w:eastAsiaTheme="minorEastAsia"/>
          <w:color w:val="000000" w:themeColor="text1"/>
          <w:sz w:val="24"/>
          <w:szCs w:val="24"/>
        </w:rPr>
        <w:t>mg/m</w:t>
      </w:r>
      <w:r>
        <w:rPr>
          <w:rFonts w:ascii="Times New Roman" w:eastAsiaTheme="minorEastAsia"/>
          <w:color w:val="000000" w:themeColor="text1"/>
          <w:sz w:val="24"/>
          <w:szCs w:val="24"/>
          <w:vertAlign w:val="superscript"/>
        </w:rPr>
        <w:t>3</w:t>
      </w:r>
      <w:r>
        <w:rPr>
          <w:rFonts w:ascii="Times New Roman" w:eastAsiaTheme="minorEastAsia"/>
          <w:color w:val="000000" w:themeColor="text1"/>
          <w:sz w:val="24"/>
          <w:szCs w:val="24"/>
        </w:rPr>
        <w:t>，低于《挥发性有机物排放标准 第7部分：其他行业》（DB37/2801.7-2019）中无组织排放监控浓度限值（2.0mg/m</w:t>
      </w:r>
      <w:r>
        <w:rPr>
          <w:rFonts w:ascii="Times New Roman" w:eastAsiaTheme="minorEastAsia"/>
          <w:color w:val="000000" w:themeColor="text1"/>
          <w:sz w:val="24"/>
          <w:szCs w:val="24"/>
          <w:vertAlign w:val="superscript"/>
        </w:rPr>
        <w:t>3</w:t>
      </w:r>
      <w:r>
        <w:rPr>
          <w:rFonts w:ascii="Times New Roman" w:eastAsiaTheme="minorEastAsia"/>
          <w:color w:val="000000" w:themeColor="text1"/>
          <w:sz w:val="24"/>
          <w:szCs w:val="24"/>
        </w:rPr>
        <w:t>）；典型井场正常营运期间厂界下风向各监控点硫化氢浓度不大于0.009mg/m</w:t>
      </w:r>
      <w:r>
        <w:rPr>
          <w:rFonts w:ascii="Times New Roman" w:eastAsiaTheme="minorEastAsia"/>
          <w:color w:val="000000" w:themeColor="text1"/>
          <w:sz w:val="24"/>
          <w:szCs w:val="24"/>
          <w:vertAlign w:val="superscript"/>
        </w:rPr>
        <w:t>3</w:t>
      </w:r>
      <w:r>
        <w:rPr>
          <w:rFonts w:ascii="Times New Roman" w:eastAsiaTheme="minorEastAsia"/>
          <w:color w:val="000000" w:themeColor="text1"/>
          <w:sz w:val="24"/>
          <w:szCs w:val="24"/>
        </w:rPr>
        <w:t>，满足《恶臭污染物排放标准》（GB14554-1993）中新扩改建项目厂界二级标准（0.06mg/m</w:t>
      </w:r>
      <w:r>
        <w:rPr>
          <w:rFonts w:ascii="Times New Roman" w:eastAsiaTheme="minorEastAsia"/>
          <w:color w:val="000000" w:themeColor="text1"/>
          <w:sz w:val="24"/>
          <w:szCs w:val="24"/>
          <w:vertAlign w:val="superscript"/>
        </w:rPr>
        <w:t>3</w:t>
      </w:r>
      <w:r>
        <w:rPr>
          <w:rFonts w:ascii="Times New Roman" w:eastAsiaTheme="minorEastAsia"/>
          <w:color w:val="000000" w:themeColor="text1"/>
          <w:sz w:val="24"/>
          <w:szCs w:val="24"/>
        </w:rPr>
        <w:t>）要求。</w:t>
      </w:r>
    </w:p>
    <w:p>
      <w:pPr>
        <w:pStyle w:val="26"/>
        <w:spacing w:line="331" w:lineRule="auto"/>
        <w:ind w:firstLine="480"/>
        <w:rPr>
          <w:rFonts w:ascii="Times New Roman" w:eastAsiaTheme="minorEastAsia"/>
          <w:color w:val="000000" w:themeColor="text1"/>
          <w:sz w:val="24"/>
          <w:szCs w:val="24"/>
        </w:rPr>
      </w:pPr>
      <w:r>
        <w:rPr>
          <w:rFonts w:ascii="Times New Roman" w:eastAsiaTheme="minorEastAsia"/>
          <w:color w:val="000000" w:themeColor="text1"/>
          <w:sz w:val="24"/>
          <w:szCs w:val="24"/>
        </w:rPr>
        <w:t>（2）有组织废气：本项目区域内典型井场加热炉，SO</w:t>
      </w:r>
      <w:r>
        <w:rPr>
          <w:rFonts w:ascii="Times New Roman" w:eastAsiaTheme="minorEastAsia"/>
          <w:color w:val="000000" w:themeColor="text1"/>
          <w:sz w:val="24"/>
          <w:szCs w:val="24"/>
          <w:vertAlign w:val="subscript"/>
        </w:rPr>
        <w:t>2</w:t>
      </w:r>
      <w:r>
        <w:rPr>
          <w:rFonts w:ascii="Times New Roman" w:eastAsiaTheme="minorEastAsia"/>
          <w:color w:val="000000" w:themeColor="text1"/>
          <w:sz w:val="24"/>
          <w:szCs w:val="24"/>
        </w:rPr>
        <w:t>、NOx及烟尘排放浓度符合《锅炉大气污染物排放标准》（DB37/2374-2018）。</w:t>
      </w:r>
    </w:p>
    <w:p>
      <w:pPr>
        <w:pStyle w:val="26"/>
        <w:spacing w:line="331" w:lineRule="auto"/>
        <w:ind w:firstLine="480"/>
        <w:rPr>
          <w:rFonts w:ascii="Times New Roman" w:eastAsiaTheme="minorEastAsia"/>
          <w:color w:val="000000" w:themeColor="text1"/>
          <w:sz w:val="24"/>
          <w:szCs w:val="24"/>
        </w:rPr>
      </w:pPr>
      <w:r>
        <w:rPr>
          <w:rFonts w:ascii="Times New Roman" w:eastAsiaTheme="minorEastAsia"/>
          <w:color w:val="000000" w:themeColor="text1"/>
          <w:sz w:val="24"/>
          <w:szCs w:val="24"/>
        </w:rPr>
        <w:t>（3）环境空气质量：PM</w:t>
      </w:r>
      <w:r>
        <w:rPr>
          <w:rFonts w:ascii="Times New Roman" w:eastAsiaTheme="minorEastAsia"/>
          <w:color w:val="000000" w:themeColor="text1"/>
          <w:sz w:val="24"/>
          <w:szCs w:val="24"/>
          <w:vertAlign w:val="subscript"/>
        </w:rPr>
        <w:t>2.5</w:t>
      </w:r>
      <w:r>
        <w:rPr>
          <w:rFonts w:ascii="Times New Roman" w:eastAsiaTheme="minorEastAsia"/>
          <w:color w:val="000000" w:themeColor="text1"/>
          <w:sz w:val="24"/>
          <w:szCs w:val="24"/>
        </w:rPr>
        <w:t>、PM</w:t>
      </w:r>
      <w:r>
        <w:rPr>
          <w:rFonts w:ascii="Times New Roman" w:eastAsiaTheme="minorEastAsia"/>
          <w:color w:val="000000" w:themeColor="text1"/>
          <w:sz w:val="24"/>
          <w:szCs w:val="24"/>
          <w:vertAlign w:val="subscript"/>
        </w:rPr>
        <w:t>10</w:t>
      </w:r>
      <w:r>
        <w:rPr>
          <w:rFonts w:ascii="Times New Roman" w:eastAsiaTheme="minorEastAsia"/>
          <w:color w:val="000000" w:themeColor="text1"/>
          <w:sz w:val="24"/>
          <w:szCs w:val="24"/>
        </w:rPr>
        <w:t>、TSP、SO</w:t>
      </w:r>
      <w:r>
        <w:rPr>
          <w:rFonts w:ascii="Times New Roman" w:eastAsiaTheme="minorEastAsia"/>
          <w:color w:val="000000" w:themeColor="text1"/>
          <w:sz w:val="24"/>
          <w:szCs w:val="24"/>
          <w:vertAlign w:val="subscript"/>
        </w:rPr>
        <w:t>2</w:t>
      </w:r>
      <w:r>
        <w:rPr>
          <w:rFonts w:ascii="Times New Roman" w:eastAsiaTheme="minorEastAsia"/>
          <w:color w:val="000000" w:themeColor="text1"/>
          <w:sz w:val="24"/>
          <w:szCs w:val="24"/>
        </w:rPr>
        <w:t>、NO</w:t>
      </w:r>
      <w:r>
        <w:rPr>
          <w:rFonts w:ascii="Times New Roman" w:eastAsiaTheme="minorEastAsia"/>
          <w:color w:val="000000" w:themeColor="text1"/>
          <w:sz w:val="24"/>
          <w:szCs w:val="24"/>
          <w:vertAlign w:val="subscript"/>
        </w:rPr>
        <w:t>2</w:t>
      </w:r>
      <w:r>
        <w:rPr>
          <w:rFonts w:ascii="Times New Roman" w:eastAsiaTheme="minorEastAsia"/>
          <w:color w:val="000000" w:themeColor="text1"/>
          <w:sz w:val="24"/>
          <w:szCs w:val="24"/>
        </w:rPr>
        <w:t>的监测浓度均符合《环境空气质量标准》（GB3095-1996）中二级标准浓度限值；环境空气中非甲烷总烃浓度均满足《大气污染物综合排放标准详解》中推荐值2.0mg/m</w:t>
      </w:r>
      <w:r>
        <w:rPr>
          <w:rFonts w:ascii="Times New Roman" w:eastAsiaTheme="minorEastAsia"/>
          <w:color w:val="000000" w:themeColor="text1"/>
          <w:sz w:val="24"/>
          <w:szCs w:val="24"/>
          <w:vertAlign w:val="superscript"/>
        </w:rPr>
        <w:t>3</w:t>
      </w:r>
      <w:r>
        <w:rPr>
          <w:rFonts w:ascii="Times New Roman" w:eastAsiaTheme="minorEastAsia"/>
          <w:color w:val="000000" w:themeColor="text1"/>
          <w:sz w:val="24"/>
          <w:szCs w:val="24"/>
        </w:rPr>
        <w:t>的要求；硫化氢浓度满足《工业企业设计卫生标准》（TJ36-79）中居住区大气中有害物质的最高容许浓度标准限值。</w:t>
      </w:r>
    </w:p>
    <w:p>
      <w:pPr>
        <w:pStyle w:val="26"/>
        <w:spacing w:line="331" w:lineRule="auto"/>
        <w:ind w:firstLine="480"/>
        <w:rPr>
          <w:rFonts w:ascii="Times New Roman" w:eastAsiaTheme="minorEastAsia"/>
          <w:color w:val="000000" w:themeColor="text1"/>
          <w:sz w:val="24"/>
          <w:szCs w:val="24"/>
        </w:rPr>
      </w:pPr>
      <w:r>
        <w:rPr>
          <w:rFonts w:ascii="Times New Roman" w:eastAsiaTheme="minorEastAsia"/>
          <w:color w:val="000000" w:themeColor="text1"/>
          <w:sz w:val="24"/>
          <w:szCs w:val="24"/>
        </w:rPr>
        <w:t>与环评报告书中环境质量检测结果相比，各监测数值大致与环评相当，说明项目建成投产后对周围环境空气质量影响较小。</w:t>
      </w:r>
    </w:p>
    <w:p>
      <w:pPr>
        <w:pStyle w:val="26"/>
        <w:adjustRightInd w:val="0"/>
        <w:snapToGrid w:val="0"/>
        <w:ind w:firstLine="480"/>
        <w:rPr>
          <w:rFonts w:ascii="Times New Roman" w:eastAsiaTheme="minorEastAsia"/>
          <w:color w:val="000000" w:themeColor="text1"/>
          <w:sz w:val="24"/>
          <w:szCs w:val="24"/>
        </w:rPr>
      </w:pPr>
      <w:r>
        <w:rPr>
          <w:rFonts w:ascii="Times New Roman" w:eastAsiaTheme="minorEastAsia"/>
          <w:color w:val="000000" w:themeColor="text1"/>
          <w:sz w:val="24"/>
          <w:szCs w:val="24"/>
        </w:rPr>
        <w:t>现场调查表明，项目基本落实了环评报告及环评批复中堤出的大气污染防治措施；根据大气污染源及项目周围大气环境质量的监测结果可以看出，污染物达标排放，环境空气监测结果基本与环评时一致，项目采取的措施是有效的。</w:t>
      </w:r>
    </w:p>
    <w:p>
      <w:pPr>
        <w:spacing w:after="0" w:line="360" w:lineRule="auto"/>
        <w:ind w:firstLine="482"/>
        <w:jc w:val="both"/>
        <w:rPr>
          <w:rFonts w:ascii="Times New Roman" w:hAnsi="Times New Roman" w:eastAsiaTheme="minorEastAsia"/>
          <w:b/>
          <w:bCs/>
          <w:color w:val="000000" w:themeColor="text1"/>
          <w:sz w:val="24"/>
          <w:szCs w:val="24"/>
        </w:rPr>
      </w:pPr>
      <w:r>
        <w:rPr>
          <w:rFonts w:ascii="Times New Roman" w:hAnsi="Times New Roman" w:eastAsiaTheme="minorEastAsia"/>
          <w:b/>
          <w:bCs/>
          <w:color w:val="000000" w:themeColor="text1"/>
          <w:sz w:val="24"/>
          <w:szCs w:val="24"/>
        </w:rPr>
        <w:t>3.2.3 水环境保护措施落实情况</w:t>
      </w:r>
    </w:p>
    <w:p>
      <w:pPr>
        <w:spacing w:after="0" w:line="360" w:lineRule="auto"/>
        <w:ind w:firstLine="482"/>
        <w:rPr>
          <w:rFonts w:hint="default" w:ascii="Times New Roman" w:hAnsi="Times New Roman" w:eastAsia="宋体"/>
          <w:sz w:val="24"/>
          <w:szCs w:val="24"/>
        </w:rPr>
      </w:pPr>
      <w:r>
        <w:rPr>
          <w:rFonts w:ascii="Times New Roman" w:hAnsi="Times New Roman" w:eastAsia="宋体"/>
          <w:sz w:val="24"/>
          <w:szCs w:val="24"/>
        </w:rPr>
        <w:t>（1）地表水：项目周围主要水体为</w:t>
      </w:r>
      <w:r>
        <w:rPr>
          <w:rFonts w:hint="eastAsia" w:ascii="Times New Roman" w:hAnsi="Times New Roman" w:eastAsia="宋体"/>
          <w:sz w:val="24"/>
          <w:szCs w:val="24"/>
          <w:lang w:val="en-US" w:eastAsia="zh-CN"/>
        </w:rPr>
        <w:t>禹临河、春风河、四分干渠、五分干渠</w:t>
      </w:r>
      <w:r>
        <w:rPr>
          <w:rFonts w:ascii="Times New Roman" w:hAnsi="Times New Roman" w:eastAsia="宋体"/>
          <w:sz w:val="24"/>
          <w:szCs w:val="24"/>
        </w:rPr>
        <w:t>等。监测结果可知，</w:t>
      </w:r>
      <w:r>
        <w:rPr>
          <w:rFonts w:hint="default" w:ascii="Times New Roman" w:hAnsi="Times New Roman" w:eastAsia="宋体"/>
          <w:sz w:val="24"/>
          <w:szCs w:val="24"/>
          <w:lang w:val="en-US" w:eastAsia="zh-CN"/>
        </w:rPr>
        <w:t>禹临河和春风河BOD5、氯化物超标</w:t>
      </w:r>
      <w:r>
        <w:rPr>
          <w:rFonts w:hint="default" w:ascii="Times New Roman" w:hAnsi="Times New Roman" w:eastAsia="宋体"/>
          <w:sz w:val="24"/>
          <w:szCs w:val="24"/>
        </w:rPr>
        <w:t>达不到《地表水环境质量标准》（GB3838-2002）中的Ⅴ类水质标准要求</w:t>
      </w:r>
      <w:r>
        <w:rPr>
          <w:rFonts w:hint="default" w:ascii="Times New Roman" w:hAnsi="Times New Roman" w:eastAsia="宋体"/>
          <w:sz w:val="24"/>
          <w:szCs w:val="24"/>
          <w:lang w:eastAsia="zh-CN"/>
        </w:rPr>
        <w:t>，</w:t>
      </w:r>
      <w:r>
        <w:rPr>
          <w:rFonts w:hint="default" w:ascii="Times New Roman" w:hAnsi="Times New Roman" w:eastAsia="宋体"/>
          <w:sz w:val="24"/>
          <w:szCs w:val="24"/>
        </w:rPr>
        <w:t>但</w:t>
      </w:r>
      <w:r>
        <w:rPr>
          <w:rFonts w:hint="default" w:ascii="Times New Roman" w:hAnsi="Times New Roman" w:eastAsia="宋体"/>
          <w:sz w:val="24"/>
          <w:szCs w:val="24"/>
          <w:lang w:val="en-US" w:eastAsia="zh-CN"/>
        </w:rPr>
        <w:t>禹临河和春风河</w:t>
      </w:r>
      <w:r>
        <w:rPr>
          <w:rFonts w:hint="default" w:ascii="Times New Roman" w:hAnsi="Times New Roman" w:eastAsia="宋体"/>
          <w:sz w:val="24"/>
          <w:szCs w:val="24"/>
        </w:rPr>
        <w:t>上、下游水质相差不大，与油田的关系较小（石油类指标不超标）</w:t>
      </w:r>
      <w:r>
        <w:rPr>
          <w:rFonts w:hint="default" w:ascii="Times New Roman" w:hAnsi="Times New Roman" w:eastAsia="宋体"/>
          <w:sz w:val="24"/>
          <w:szCs w:val="24"/>
          <w:lang w:eastAsia="zh-CN"/>
        </w:rPr>
        <w:t>；</w:t>
      </w:r>
      <w:r>
        <w:rPr>
          <w:rFonts w:hint="default" w:ascii="Times New Roman" w:hAnsi="Times New Roman" w:eastAsia="宋体"/>
          <w:sz w:val="24"/>
          <w:szCs w:val="24"/>
          <w:lang w:val="en-US" w:eastAsia="zh-CN"/>
        </w:rPr>
        <w:t>四分干渠和五分干渠总磷、总氮超标</w:t>
      </w:r>
      <w:r>
        <w:rPr>
          <w:rFonts w:hint="default" w:ascii="Times New Roman" w:hAnsi="Times New Roman" w:eastAsia="宋体"/>
          <w:sz w:val="24"/>
          <w:szCs w:val="24"/>
        </w:rPr>
        <w:t>达不到《地表水环境质量标准》（GB3838-2002）中的Ⅴ类水质标准要求</w:t>
      </w:r>
      <w:r>
        <w:rPr>
          <w:rFonts w:hint="default" w:ascii="Times New Roman" w:hAnsi="Times New Roman" w:eastAsia="宋体"/>
          <w:sz w:val="24"/>
          <w:szCs w:val="24"/>
          <w:lang w:eastAsia="zh-CN"/>
        </w:rPr>
        <w:t>，</w:t>
      </w:r>
      <w:r>
        <w:rPr>
          <w:rFonts w:hint="default" w:ascii="Times New Roman" w:hAnsi="Times New Roman" w:eastAsia="宋体"/>
          <w:sz w:val="24"/>
          <w:szCs w:val="24"/>
        </w:rPr>
        <w:t>但</w:t>
      </w:r>
      <w:r>
        <w:rPr>
          <w:rFonts w:hint="default" w:ascii="Times New Roman" w:hAnsi="Times New Roman" w:eastAsia="宋体"/>
          <w:sz w:val="24"/>
          <w:szCs w:val="24"/>
          <w:lang w:val="en-US" w:eastAsia="zh-CN"/>
        </w:rPr>
        <w:t>四分干渠和五分干渠</w:t>
      </w:r>
      <w:r>
        <w:rPr>
          <w:rFonts w:hint="default" w:ascii="Times New Roman" w:hAnsi="Times New Roman" w:eastAsia="宋体"/>
          <w:sz w:val="24"/>
          <w:szCs w:val="24"/>
        </w:rPr>
        <w:t>上、下游水质相差不大，与油田的关系较小（石油类指标不超标）。</w:t>
      </w:r>
      <w:r>
        <w:rPr>
          <w:rFonts w:hint="default" w:ascii="Times New Roman" w:hAnsi="Times New Roman" w:eastAsia="宋体"/>
          <w:sz w:val="24"/>
          <w:szCs w:val="24"/>
          <w:lang w:val="en-US" w:eastAsia="zh-CN"/>
        </w:rPr>
        <w:t>五分干渠氟化物超标，</w:t>
      </w:r>
      <w:r>
        <w:rPr>
          <w:rFonts w:hint="default" w:ascii="Times New Roman" w:hAnsi="Times New Roman" w:eastAsia="宋体"/>
          <w:sz w:val="24"/>
          <w:szCs w:val="24"/>
        </w:rPr>
        <w:t>但</w:t>
      </w:r>
      <w:r>
        <w:rPr>
          <w:rFonts w:hint="default" w:ascii="Times New Roman" w:hAnsi="Times New Roman" w:eastAsia="宋体"/>
          <w:sz w:val="24"/>
          <w:szCs w:val="24"/>
          <w:lang w:val="en-US" w:eastAsia="zh-CN"/>
        </w:rPr>
        <w:t>四分干渠和五分干渠</w:t>
      </w:r>
      <w:r>
        <w:rPr>
          <w:rFonts w:hint="default" w:ascii="Times New Roman" w:hAnsi="Times New Roman" w:eastAsia="宋体"/>
          <w:sz w:val="24"/>
          <w:szCs w:val="24"/>
        </w:rPr>
        <w:t>上、下游水质相差不大，与油田的关系较小（石油类指标不超标）</w:t>
      </w:r>
      <w:r>
        <w:rPr>
          <w:rFonts w:hint="default" w:ascii="Times New Roman" w:hAnsi="Times New Roman" w:eastAsia="宋体"/>
          <w:sz w:val="24"/>
          <w:szCs w:val="24"/>
          <w:lang w:eastAsia="zh-CN"/>
        </w:rPr>
        <w:t>。</w:t>
      </w:r>
      <w:r>
        <w:rPr>
          <w:rFonts w:hint="default" w:ascii="Times New Roman" w:hAnsi="Times New Roman" w:eastAsia="宋体"/>
          <w:sz w:val="24"/>
          <w:szCs w:val="24"/>
        </w:rPr>
        <w:t>且与环评报告中地表水环境质量监测结果相比，</w:t>
      </w:r>
      <w:r>
        <w:rPr>
          <w:rFonts w:hint="default" w:ascii="Times New Roman" w:hAnsi="Times New Roman" w:eastAsia="宋体"/>
          <w:sz w:val="24"/>
          <w:szCs w:val="24"/>
          <w:lang w:val="en-US" w:eastAsia="zh-CN"/>
        </w:rPr>
        <w:t>石油类监测结果低于</w:t>
      </w:r>
      <w:r>
        <w:rPr>
          <w:rFonts w:hint="default" w:ascii="Times New Roman" w:hAnsi="Times New Roman" w:eastAsia="宋体"/>
          <w:sz w:val="24"/>
          <w:szCs w:val="24"/>
        </w:rPr>
        <w:t>环评</w:t>
      </w:r>
      <w:r>
        <w:rPr>
          <w:rFonts w:hint="default" w:ascii="Times New Roman" w:hAnsi="Times New Roman" w:eastAsia="宋体"/>
          <w:sz w:val="24"/>
          <w:szCs w:val="24"/>
          <w:lang w:val="en-US" w:eastAsia="zh-CN"/>
        </w:rPr>
        <w:t>时监测结果</w:t>
      </w:r>
      <w:r>
        <w:rPr>
          <w:rFonts w:hint="default" w:ascii="Times New Roman" w:hAnsi="Times New Roman" w:eastAsia="宋体"/>
          <w:sz w:val="24"/>
          <w:szCs w:val="24"/>
        </w:rPr>
        <w:t>，</w:t>
      </w:r>
      <w:r>
        <w:rPr>
          <w:rFonts w:hint="default" w:ascii="Times New Roman" w:hAnsi="Times New Roman" w:eastAsia="宋体"/>
          <w:sz w:val="24"/>
          <w:szCs w:val="24"/>
          <w:lang w:val="en-US" w:eastAsia="zh-CN"/>
        </w:rPr>
        <w:t>其他监测因子基本不变，</w:t>
      </w:r>
      <w:r>
        <w:rPr>
          <w:rFonts w:hint="default" w:ascii="Times New Roman" w:hAnsi="Times New Roman" w:eastAsia="宋体"/>
          <w:sz w:val="24"/>
          <w:szCs w:val="24"/>
        </w:rPr>
        <w:t>说明项目建成投产后对周围地表水影响较小。</w:t>
      </w:r>
    </w:p>
    <w:p>
      <w:pPr>
        <w:spacing w:after="0" w:line="360" w:lineRule="auto"/>
        <w:ind w:firstLine="482"/>
        <w:rPr>
          <w:rFonts w:hint="default" w:ascii="Times New Roman" w:hAnsi="Times New Roman" w:eastAsia="宋体"/>
          <w:sz w:val="24"/>
          <w:szCs w:val="24"/>
          <w:lang w:val="zh-CN"/>
        </w:rPr>
      </w:pPr>
      <w:r>
        <w:rPr>
          <w:rFonts w:ascii="Times New Roman" w:hAnsi="Times New Roman" w:eastAsia="宋体"/>
          <w:sz w:val="24"/>
          <w:szCs w:val="24"/>
          <w:lang w:val="zh-CN"/>
        </w:rPr>
        <w:t>（2）地下水：</w:t>
      </w:r>
      <w:r>
        <w:rPr>
          <w:rFonts w:hint="default" w:ascii="Times New Roman" w:hAnsi="Times New Roman" w:eastAsia="宋体"/>
          <w:sz w:val="24"/>
          <w:szCs w:val="24"/>
          <w:lang w:val="zh-CN"/>
        </w:rPr>
        <w:t>项目所在区域地下水氯化物、硫酸盐、砷、汞、高锰酸盐指数、总硬度、溶解性固体、锰</w:t>
      </w:r>
      <w:r>
        <w:rPr>
          <w:rFonts w:hint="default" w:ascii="Times New Roman" w:hAnsi="Times New Roman" w:eastAsia="宋体"/>
          <w:sz w:val="24"/>
          <w:szCs w:val="24"/>
          <w:lang w:val="zh-CN" w:eastAsia="zh-CN"/>
        </w:rPr>
        <w:t>、铁、</w:t>
      </w:r>
      <w:r>
        <w:rPr>
          <w:rFonts w:hint="default" w:ascii="Times New Roman" w:hAnsi="Times New Roman" w:eastAsia="宋体"/>
          <w:sz w:val="24"/>
          <w:szCs w:val="24"/>
          <w:lang w:val="zh-CN"/>
        </w:rPr>
        <w:t>细菌总数都存在超标，与环评报告书中地下水分析情况基本一致；地下水水质较差与原生水文地质环境有关，与油田生产的关系较小（石油类指标不超标）。除此之外，其余监测点的各项监测指标均能满足《地下水质量标准》（GB/T14848-93）Ⅲ类标准的要求。</w:t>
      </w:r>
    </w:p>
    <w:p>
      <w:pPr>
        <w:spacing w:after="0" w:line="360" w:lineRule="auto"/>
        <w:ind w:firstLine="482"/>
        <w:jc w:val="both"/>
        <w:rPr>
          <w:rFonts w:ascii="Times New Roman" w:hAnsi="Times New Roman" w:eastAsiaTheme="minorEastAsia"/>
          <w:b/>
          <w:bCs/>
          <w:color w:val="000000" w:themeColor="text1"/>
          <w:sz w:val="24"/>
          <w:szCs w:val="24"/>
        </w:rPr>
      </w:pPr>
      <w:r>
        <w:rPr>
          <w:rFonts w:ascii="Times New Roman" w:hAnsi="Times New Roman" w:eastAsiaTheme="minorEastAsia"/>
          <w:b/>
          <w:bCs/>
          <w:color w:val="000000" w:themeColor="text1"/>
          <w:sz w:val="24"/>
          <w:szCs w:val="24"/>
        </w:rPr>
        <w:t>3.2.4 声环境保护措施落实情况</w:t>
      </w:r>
    </w:p>
    <w:p>
      <w:pPr>
        <w:pStyle w:val="7"/>
        <w:tabs>
          <w:tab w:val="left" w:pos="1155"/>
        </w:tabs>
        <w:spacing w:after="0" w:line="360" w:lineRule="auto"/>
        <w:ind w:firstLineChars="200"/>
        <w:rPr>
          <w:rFonts w:ascii="Times New Roman" w:hAnsi="Times New Roman" w:eastAsia="宋体" w:cs="Times New Roman"/>
          <w:kern w:val="0"/>
          <w:sz w:val="24"/>
          <w:szCs w:val="24"/>
          <w:lang w:val="en-US" w:eastAsia="zh-CN" w:bidi="ar-SA"/>
        </w:rPr>
      </w:pPr>
      <w:r>
        <w:rPr>
          <w:rFonts w:ascii="Times New Roman" w:hAnsi="Times New Roman" w:eastAsia="宋体" w:cs="Times New Roman"/>
          <w:kern w:val="0"/>
          <w:sz w:val="24"/>
          <w:szCs w:val="24"/>
          <w:lang w:val="en-US" w:eastAsia="zh-CN" w:bidi="ar-SA"/>
        </w:rPr>
        <w:t>本次调查发现，项目在钻井期尽可能选用了低噪设备，尽可能降低施工噪声对周边居民的影响。</w:t>
      </w:r>
    </w:p>
    <w:p>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从监测结果可以看出，项目典型采油井场噪声能够达到《工业企业厂界环境噪声排放标准》（GB12348-2008）中2类标准。声环境敏感点监测结果满足《声环境质量标准》中2类区标准，项目所在开发区域声环境质量较好，满足功能区的要求。从公众意见调查的结果来看，项目运营期未接到噪声方面的投诉。项目运行期噪声对周围环境影响不大</w:t>
      </w:r>
      <w:r>
        <w:rPr>
          <w:rFonts w:ascii="Times New Roman" w:hAnsi="Times New Roman" w:eastAsia="宋体"/>
          <w:color w:val="000000"/>
          <w:sz w:val="24"/>
          <w:szCs w:val="24"/>
          <w:lang w:bidi="ar"/>
        </w:rPr>
        <w:t>。</w:t>
      </w:r>
    </w:p>
    <w:p>
      <w:pPr>
        <w:spacing w:after="0" w:line="360" w:lineRule="auto"/>
        <w:ind w:firstLine="482"/>
        <w:jc w:val="both"/>
        <w:rPr>
          <w:rFonts w:ascii="Times New Roman" w:hAnsi="Times New Roman" w:eastAsiaTheme="minorEastAsia"/>
          <w:b/>
          <w:bCs/>
          <w:color w:val="000000" w:themeColor="text1"/>
          <w:sz w:val="24"/>
          <w:szCs w:val="24"/>
        </w:rPr>
      </w:pPr>
      <w:r>
        <w:rPr>
          <w:rFonts w:ascii="Times New Roman" w:hAnsi="Times New Roman" w:eastAsiaTheme="minorEastAsia"/>
          <w:b/>
          <w:bCs/>
          <w:color w:val="000000" w:themeColor="text1"/>
          <w:sz w:val="24"/>
          <w:szCs w:val="24"/>
        </w:rPr>
        <w:t>3.2.5 固废环境和保护措施落实情况</w:t>
      </w:r>
    </w:p>
    <w:p>
      <w:pPr>
        <w:spacing w:after="0" w:line="360" w:lineRule="auto"/>
        <w:ind w:firstLine="480" w:firstLineChars="200"/>
        <w:jc w:val="both"/>
        <w:rPr>
          <w:rFonts w:hint="default" w:ascii="Times New Roman" w:hAnsi="Times New Roman" w:eastAsiaTheme="minorEastAsia"/>
          <w:bCs/>
          <w:color w:val="000000" w:themeColor="text1"/>
          <w:sz w:val="24"/>
          <w:szCs w:val="24"/>
        </w:rPr>
      </w:pPr>
      <w:r>
        <w:rPr>
          <w:rFonts w:hint="default" w:ascii="Times New Roman" w:hAnsi="Times New Roman" w:eastAsiaTheme="minorEastAsia"/>
          <w:bCs/>
          <w:color w:val="000000" w:themeColor="text1"/>
          <w:sz w:val="24"/>
          <w:szCs w:val="24"/>
        </w:rPr>
        <w:t>经现场调查，泥浆池已固化完成，并覆土填埋。项目产生的油泥砂暂时储存、运输规范，无害化处理</w:t>
      </w:r>
      <w:r>
        <w:rPr>
          <w:rFonts w:hint="default" w:ascii="Times New Roman" w:hAnsi="Times New Roman" w:eastAsiaTheme="minorEastAsia"/>
          <w:bCs/>
          <w:color w:val="000000" w:themeColor="text1"/>
          <w:sz w:val="24"/>
          <w:szCs w:val="24"/>
          <w:lang w:eastAsia="zh-CN"/>
        </w:rPr>
        <w:t>单位</w:t>
      </w:r>
      <w:r>
        <w:rPr>
          <w:rFonts w:hint="default" w:ascii="Times New Roman" w:hAnsi="Times New Roman" w:eastAsiaTheme="minorEastAsia"/>
          <w:bCs/>
          <w:color w:val="000000" w:themeColor="text1"/>
          <w:sz w:val="24"/>
          <w:szCs w:val="24"/>
        </w:rPr>
        <w:t>正常运行，能够满足项目油泥砂处置的需求。施工期建筑垃圾以及生活垃圾处理措施得当。</w:t>
      </w:r>
    </w:p>
    <w:p>
      <w:pPr>
        <w:spacing w:after="0" w:line="360" w:lineRule="auto"/>
        <w:ind w:firstLine="480" w:firstLineChars="200"/>
        <w:jc w:val="both"/>
        <w:rPr>
          <w:rFonts w:ascii="Times New Roman" w:hAnsi="Times New Roman" w:eastAsiaTheme="minorEastAsia"/>
          <w:bCs/>
          <w:color w:val="000000" w:themeColor="text1"/>
          <w:sz w:val="24"/>
          <w:szCs w:val="24"/>
        </w:rPr>
      </w:pPr>
      <w:r>
        <w:rPr>
          <w:rFonts w:hint="default" w:ascii="Times New Roman" w:hAnsi="Times New Roman" w:eastAsiaTheme="minorEastAsia"/>
          <w:bCs/>
          <w:color w:val="000000" w:themeColor="text1"/>
          <w:sz w:val="24"/>
          <w:szCs w:val="24"/>
        </w:rPr>
        <w:t>综上，本项目在建设和运行过程中基本落实了环评报告书中提出的固体废物污染防治措施的要求，采取的固体废物污染防治措施是可行的</w:t>
      </w:r>
      <w:r>
        <w:rPr>
          <w:rFonts w:ascii="Times New Roman" w:hAnsi="Times New Roman" w:eastAsiaTheme="minorEastAsia"/>
          <w:bCs/>
          <w:color w:val="000000" w:themeColor="text1"/>
          <w:sz w:val="24"/>
          <w:szCs w:val="24"/>
        </w:rPr>
        <w:t>。</w:t>
      </w:r>
    </w:p>
    <w:p>
      <w:pPr>
        <w:spacing w:after="0" w:line="360" w:lineRule="auto"/>
        <w:ind w:firstLine="562" w:firstLineChars="200"/>
        <w:jc w:val="both"/>
        <w:rPr>
          <w:rFonts w:ascii="Times New Roman" w:hAnsi="Times New Roman" w:eastAsiaTheme="minorEastAsia"/>
          <w:b/>
          <w:bCs/>
          <w:color w:val="000000" w:themeColor="text1"/>
          <w:sz w:val="28"/>
          <w:szCs w:val="28"/>
        </w:rPr>
      </w:pPr>
      <w:r>
        <w:rPr>
          <w:rFonts w:ascii="Times New Roman" w:hAnsi="Times New Roman" w:eastAsiaTheme="minorEastAsia"/>
          <w:b/>
          <w:bCs/>
          <w:color w:val="000000" w:themeColor="text1"/>
          <w:sz w:val="28"/>
          <w:szCs w:val="28"/>
        </w:rPr>
        <w:t>3.3配套措施落实情况</w:t>
      </w:r>
    </w:p>
    <w:p>
      <w:pPr>
        <w:spacing w:after="0" w:line="360" w:lineRule="auto"/>
        <w:ind w:firstLine="723" w:firstLineChars="300"/>
        <w:jc w:val="both"/>
        <w:rPr>
          <w:rFonts w:ascii="Times New Roman" w:hAnsi="Times New Roman" w:eastAsiaTheme="minorEastAsia"/>
          <w:b/>
          <w:bCs/>
          <w:color w:val="000000" w:themeColor="text1"/>
          <w:sz w:val="24"/>
          <w:szCs w:val="24"/>
        </w:rPr>
      </w:pPr>
      <w:r>
        <w:rPr>
          <w:rFonts w:ascii="Times New Roman" w:hAnsi="Times New Roman" w:eastAsiaTheme="minorEastAsia"/>
          <w:b/>
          <w:bCs/>
          <w:color w:val="000000" w:themeColor="text1"/>
          <w:sz w:val="24"/>
          <w:szCs w:val="24"/>
        </w:rPr>
        <w:t>3.3.1区域消减及淘汰落后产能</w:t>
      </w:r>
    </w:p>
    <w:p>
      <w:pPr>
        <w:spacing w:after="0" w:line="360" w:lineRule="auto"/>
        <w:ind w:firstLine="482"/>
        <w:jc w:val="both"/>
        <w:rPr>
          <w:rFonts w:ascii="Times New Roman" w:hAnsi="Times New Roman" w:eastAsiaTheme="minorEastAsia"/>
          <w:bCs/>
          <w:color w:val="000000" w:themeColor="text1"/>
          <w:sz w:val="24"/>
          <w:szCs w:val="24"/>
        </w:rPr>
      </w:pPr>
      <w:r>
        <w:rPr>
          <w:rFonts w:ascii="Times New Roman" w:hAnsi="Times New Roman" w:eastAsiaTheme="minorEastAsia"/>
          <w:bCs/>
          <w:color w:val="000000" w:themeColor="text1"/>
          <w:sz w:val="24"/>
          <w:szCs w:val="24"/>
        </w:rPr>
        <w:t>本项目不涉及。</w:t>
      </w:r>
    </w:p>
    <w:p>
      <w:pPr>
        <w:spacing w:after="0" w:line="360" w:lineRule="auto"/>
        <w:ind w:firstLine="723" w:firstLineChars="300"/>
        <w:jc w:val="both"/>
        <w:rPr>
          <w:rFonts w:ascii="Times New Roman" w:hAnsi="Times New Roman" w:eastAsiaTheme="minorEastAsia"/>
          <w:b/>
          <w:bCs/>
          <w:color w:val="000000" w:themeColor="text1"/>
          <w:sz w:val="24"/>
          <w:szCs w:val="24"/>
        </w:rPr>
      </w:pPr>
      <w:r>
        <w:rPr>
          <w:rFonts w:ascii="Times New Roman" w:hAnsi="Times New Roman" w:eastAsiaTheme="minorEastAsia"/>
          <w:b/>
          <w:bCs/>
          <w:color w:val="000000" w:themeColor="text1"/>
          <w:sz w:val="24"/>
          <w:szCs w:val="24"/>
        </w:rPr>
        <w:t>3.3.2防护距离控制及居民搬迁</w:t>
      </w:r>
    </w:p>
    <w:p>
      <w:pPr>
        <w:spacing w:after="0" w:line="360" w:lineRule="auto"/>
        <w:ind w:firstLine="482"/>
        <w:jc w:val="both"/>
        <w:rPr>
          <w:rFonts w:ascii="Times New Roman" w:hAnsi="Times New Roman" w:eastAsiaTheme="minorEastAsia"/>
          <w:bCs/>
          <w:color w:val="000000" w:themeColor="text1"/>
          <w:sz w:val="24"/>
          <w:szCs w:val="24"/>
        </w:rPr>
      </w:pPr>
      <w:r>
        <w:rPr>
          <w:rFonts w:ascii="Times New Roman" w:hAnsi="Times New Roman" w:eastAsiaTheme="minorEastAsia"/>
          <w:bCs/>
          <w:color w:val="000000" w:themeColor="text1"/>
          <w:sz w:val="24"/>
          <w:szCs w:val="24"/>
        </w:rPr>
        <w:t>本项目不涉及。</w:t>
      </w:r>
    </w:p>
    <w:p>
      <w:pPr>
        <w:spacing w:after="0" w:line="360" w:lineRule="auto"/>
        <w:ind w:firstLine="723" w:firstLineChars="300"/>
        <w:jc w:val="both"/>
        <w:rPr>
          <w:rFonts w:ascii="Times New Roman" w:hAnsi="Times New Roman" w:eastAsiaTheme="minorEastAsia"/>
          <w:b/>
          <w:bCs/>
          <w:color w:val="000000" w:themeColor="text1"/>
          <w:sz w:val="24"/>
          <w:szCs w:val="24"/>
        </w:rPr>
      </w:pPr>
      <w:r>
        <w:rPr>
          <w:rFonts w:ascii="Times New Roman" w:hAnsi="Times New Roman" w:eastAsiaTheme="minorEastAsia"/>
          <w:b/>
          <w:bCs/>
          <w:color w:val="000000" w:themeColor="text1"/>
          <w:sz w:val="24"/>
          <w:szCs w:val="24"/>
        </w:rPr>
        <w:t>3.3.3其他措施</w:t>
      </w:r>
    </w:p>
    <w:p>
      <w:pPr>
        <w:spacing w:after="0" w:line="360" w:lineRule="auto"/>
        <w:ind w:firstLine="482"/>
        <w:jc w:val="both"/>
        <w:rPr>
          <w:rFonts w:ascii="Times New Roman" w:hAnsi="Times New Roman" w:eastAsiaTheme="minorEastAsia"/>
          <w:b/>
          <w:bCs/>
          <w:color w:val="000000" w:themeColor="text1"/>
          <w:sz w:val="24"/>
          <w:szCs w:val="24"/>
        </w:rPr>
      </w:pPr>
      <w:r>
        <w:rPr>
          <w:rFonts w:ascii="Times New Roman" w:hAnsi="Times New Roman" w:eastAsiaTheme="minorEastAsia"/>
          <w:bCs/>
          <w:color w:val="000000" w:themeColor="text1"/>
          <w:sz w:val="24"/>
          <w:szCs w:val="24"/>
        </w:rPr>
        <w:t>本项目不涉及区域环境整治、相关外围工程建设等措施。</w:t>
      </w:r>
    </w:p>
    <w:p>
      <w:pPr>
        <w:spacing w:after="0" w:line="360" w:lineRule="auto"/>
        <w:ind w:firstLine="643" w:firstLineChars="200"/>
        <w:jc w:val="both"/>
        <w:rPr>
          <w:rFonts w:ascii="Times New Roman" w:hAnsi="Times New Roman" w:eastAsiaTheme="minorEastAsia"/>
          <w:b/>
          <w:bCs/>
          <w:color w:val="000000" w:themeColor="text1"/>
          <w:sz w:val="32"/>
          <w:szCs w:val="32"/>
        </w:rPr>
      </w:pPr>
      <w:r>
        <w:rPr>
          <w:rFonts w:ascii="Times New Roman" w:hAnsi="Times New Roman" w:eastAsiaTheme="minorEastAsia"/>
          <w:b/>
          <w:bCs/>
          <w:color w:val="000000" w:themeColor="text1"/>
          <w:sz w:val="32"/>
          <w:szCs w:val="32"/>
        </w:rPr>
        <w:t>4整改工作情况</w:t>
      </w:r>
    </w:p>
    <w:p>
      <w:pPr>
        <w:pStyle w:val="2"/>
        <w:ind w:left="0" w:leftChars="0" w:firstLine="480" w:firstLineChars="200"/>
        <w:rPr>
          <w:rFonts w:hint="default" w:ascii="Times New Roman" w:hAnsi="Times New Roman" w:cs="Times New Roman" w:eastAsiaTheme="minorEastAsia"/>
          <w:bCs/>
          <w:color w:val="000000" w:themeColor="text1"/>
          <w:sz w:val="24"/>
          <w:szCs w:val="24"/>
          <w:lang w:val="en-US" w:eastAsia="zh-CN" w:bidi="ar-SA"/>
        </w:rPr>
      </w:pPr>
      <w:r>
        <w:rPr>
          <w:rFonts w:hint="eastAsia" w:ascii="Times New Roman" w:hAnsi="Times New Roman" w:cs="Times New Roman" w:eastAsiaTheme="minorEastAsia"/>
          <w:bCs/>
          <w:color w:val="000000" w:themeColor="text1"/>
          <w:sz w:val="24"/>
          <w:szCs w:val="24"/>
          <w:lang w:val="en-US" w:eastAsia="zh-CN" w:bidi="ar-SA"/>
        </w:rPr>
        <w:t>本项目不涉及。</w:t>
      </w:r>
      <w:bookmarkStart w:id="1" w:name="_GoBack"/>
      <w:bookmarkEnd w:id="1"/>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w:pict>
        <v:shape id="文本框 2"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0D5"/>
    <w:multiLevelType w:val="multilevel"/>
    <w:tmpl w:val="131710D5"/>
    <w:lvl w:ilvl="0" w:tentative="0">
      <w:start w:val="17"/>
      <w:numFmt w:val="decimal"/>
      <w:isLgl/>
      <w:lvlText w:val="%1"/>
      <w:lvlJc w:val="left"/>
      <w:pPr>
        <w:tabs>
          <w:tab w:val="left" w:pos="567"/>
        </w:tabs>
        <w:ind w:left="567" w:hanging="567"/>
      </w:pPr>
      <w:rPr>
        <w:rFonts w:hint="eastAsia" w:ascii="宋体" w:eastAsia="宋体"/>
        <w:b w:val="0"/>
        <w:i w:val="0"/>
        <w:sz w:val="24"/>
      </w:rPr>
    </w:lvl>
    <w:lvl w:ilvl="1" w:tentative="0">
      <w:start w:val="1"/>
      <w:numFmt w:val="decimal"/>
      <w:lvlRestart w:val="0"/>
      <w:pStyle w:val="6"/>
      <w:isLgl/>
      <w:lvlText w:val="17.%2"/>
      <w:lvlJc w:val="left"/>
      <w:pPr>
        <w:tabs>
          <w:tab w:val="left" w:pos="1985"/>
        </w:tabs>
        <w:ind w:left="1985" w:hanging="1985"/>
      </w:pPr>
      <w:rPr>
        <w:rFonts w:hint="eastAsia" w:ascii="宋体" w:eastAsia="宋体"/>
        <w:b/>
        <w:i w:val="0"/>
        <w:spacing w:val="0"/>
        <w:sz w:val="32"/>
        <w:szCs w:val="32"/>
      </w:rPr>
    </w:lvl>
    <w:lvl w:ilvl="2" w:tentative="0">
      <w:start w:val="1"/>
      <w:numFmt w:val="decimal"/>
      <w:lvlRestart w:val="0"/>
      <w:isLgl/>
      <w:lvlText w:val="%1.%2.%3"/>
      <w:lvlJc w:val="left"/>
      <w:pPr>
        <w:tabs>
          <w:tab w:val="left" w:pos="720"/>
        </w:tabs>
        <w:ind w:left="567" w:hanging="567"/>
      </w:pPr>
      <w:rPr>
        <w:rFonts w:hint="eastAsia" w:ascii="宋体" w:eastAsia="宋体"/>
        <w:b/>
        <w:i w:val="0"/>
        <w:sz w:val="24"/>
      </w:rPr>
    </w:lvl>
    <w:lvl w:ilvl="3" w:tentative="0">
      <w:start w:val="1"/>
      <w:numFmt w:val="decimal"/>
      <w:lvlText w:val="%1.%2.%3.%4"/>
      <w:lvlJc w:val="left"/>
      <w:pPr>
        <w:tabs>
          <w:tab w:val="left" w:pos="144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64B4"/>
    <w:rsid w:val="000109AF"/>
    <w:rsid w:val="00016D39"/>
    <w:rsid w:val="00064996"/>
    <w:rsid w:val="00064A1B"/>
    <w:rsid w:val="00096C84"/>
    <w:rsid w:val="000F7B51"/>
    <w:rsid w:val="0011516E"/>
    <w:rsid w:val="00117263"/>
    <w:rsid w:val="00124BDB"/>
    <w:rsid w:val="001F5C49"/>
    <w:rsid w:val="00262441"/>
    <w:rsid w:val="00291B66"/>
    <w:rsid w:val="002E64CF"/>
    <w:rsid w:val="00382447"/>
    <w:rsid w:val="0039206E"/>
    <w:rsid w:val="003946FB"/>
    <w:rsid w:val="003C5FD7"/>
    <w:rsid w:val="003D5486"/>
    <w:rsid w:val="003E4969"/>
    <w:rsid w:val="003F5731"/>
    <w:rsid w:val="0045125B"/>
    <w:rsid w:val="0045741D"/>
    <w:rsid w:val="00494994"/>
    <w:rsid w:val="004A539C"/>
    <w:rsid w:val="004B54D6"/>
    <w:rsid w:val="00505F1E"/>
    <w:rsid w:val="00514DD1"/>
    <w:rsid w:val="00550F45"/>
    <w:rsid w:val="00581CD7"/>
    <w:rsid w:val="00590BFD"/>
    <w:rsid w:val="005D40E3"/>
    <w:rsid w:val="00683036"/>
    <w:rsid w:val="00684FEF"/>
    <w:rsid w:val="00695E66"/>
    <w:rsid w:val="006A05C0"/>
    <w:rsid w:val="006F5AE9"/>
    <w:rsid w:val="00713C95"/>
    <w:rsid w:val="0072228A"/>
    <w:rsid w:val="00760922"/>
    <w:rsid w:val="00792AB2"/>
    <w:rsid w:val="007A011F"/>
    <w:rsid w:val="007B046D"/>
    <w:rsid w:val="007C36AE"/>
    <w:rsid w:val="007C6D0F"/>
    <w:rsid w:val="007E69CF"/>
    <w:rsid w:val="00842A03"/>
    <w:rsid w:val="00853DB5"/>
    <w:rsid w:val="00855AD1"/>
    <w:rsid w:val="00873568"/>
    <w:rsid w:val="008770C6"/>
    <w:rsid w:val="0088545B"/>
    <w:rsid w:val="00886B5F"/>
    <w:rsid w:val="008D3C33"/>
    <w:rsid w:val="008E608E"/>
    <w:rsid w:val="008F0127"/>
    <w:rsid w:val="00931393"/>
    <w:rsid w:val="009355E6"/>
    <w:rsid w:val="00942455"/>
    <w:rsid w:val="00945501"/>
    <w:rsid w:val="00964089"/>
    <w:rsid w:val="009742A9"/>
    <w:rsid w:val="009A0385"/>
    <w:rsid w:val="009B04C2"/>
    <w:rsid w:val="009B708D"/>
    <w:rsid w:val="009E2591"/>
    <w:rsid w:val="00A02DF5"/>
    <w:rsid w:val="00A21F67"/>
    <w:rsid w:val="00A76A53"/>
    <w:rsid w:val="00AD1FC5"/>
    <w:rsid w:val="00AD6457"/>
    <w:rsid w:val="00AF10AC"/>
    <w:rsid w:val="00B571CA"/>
    <w:rsid w:val="00B90E8C"/>
    <w:rsid w:val="00B940E2"/>
    <w:rsid w:val="00BE3360"/>
    <w:rsid w:val="00BF7DC5"/>
    <w:rsid w:val="00BF7ED4"/>
    <w:rsid w:val="00C07117"/>
    <w:rsid w:val="00CA4C01"/>
    <w:rsid w:val="00CD1E22"/>
    <w:rsid w:val="00CE7B0B"/>
    <w:rsid w:val="00CF50B8"/>
    <w:rsid w:val="00CF7E43"/>
    <w:rsid w:val="00D364B4"/>
    <w:rsid w:val="00D4126C"/>
    <w:rsid w:val="00D72DEF"/>
    <w:rsid w:val="00DF043E"/>
    <w:rsid w:val="00E40ED0"/>
    <w:rsid w:val="00E45DCE"/>
    <w:rsid w:val="00E64B26"/>
    <w:rsid w:val="00EF2209"/>
    <w:rsid w:val="00F122F0"/>
    <w:rsid w:val="00F26AE1"/>
    <w:rsid w:val="00F51F85"/>
    <w:rsid w:val="00F6125B"/>
    <w:rsid w:val="00F72402"/>
    <w:rsid w:val="00FA1FF7"/>
    <w:rsid w:val="131F5BDD"/>
    <w:rsid w:val="41B56FEA"/>
    <w:rsid w:val="4A1017B3"/>
    <w:rsid w:val="50B20D73"/>
    <w:rsid w:val="65110572"/>
    <w:rsid w:val="6E39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5">
    <w:name w:val="heading 1"/>
    <w:basedOn w:val="1"/>
    <w:next w:val="1"/>
    <w:qFormat/>
    <w:uiPriority w:val="0"/>
    <w:pPr>
      <w:keepNext/>
      <w:keepLines/>
      <w:ind w:firstLine="0" w:firstLineChars="0"/>
      <w:outlineLvl w:val="0"/>
    </w:pPr>
    <w:rPr>
      <w:rFonts w:ascii="Times New Roman" w:hAnsi="Times New Roman" w:eastAsia="宋体"/>
      <w:b/>
      <w:kern w:val="44"/>
      <w:sz w:val="28"/>
      <w:szCs w:val="20"/>
    </w:rPr>
  </w:style>
  <w:style w:type="character" w:default="1" w:styleId="15">
    <w:name w:val="Default Paragraph Font"/>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6"/>
    <w:qFormat/>
    <w:uiPriority w:val="0"/>
    <w:pPr>
      <w:spacing w:after="120"/>
      <w:ind w:left="420" w:leftChars="200" w:firstLine="420" w:firstLineChars="200"/>
    </w:pPr>
    <w:rPr>
      <w:rFonts w:ascii="Times New Roman" w:eastAsia="宋体"/>
      <w:sz w:val="21"/>
      <w:szCs w:val="24"/>
    </w:rPr>
  </w:style>
  <w:style w:type="paragraph" w:styleId="3">
    <w:name w:val="Body Text Indent"/>
    <w:basedOn w:val="1"/>
    <w:next w:val="4"/>
    <w:qFormat/>
    <w:uiPriority w:val="0"/>
    <w:pPr>
      <w:ind w:firstLine="360"/>
    </w:pPr>
    <w:rPr>
      <w:rFonts w:ascii="仿宋_GB2312" w:eastAsia="仿宋_GB2312"/>
      <w:sz w:val="30"/>
      <w:szCs w:val="20"/>
    </w:rPr>
  </w:style>
  <w:style w:type="paragraph" w:customStyle="1" w:styleId="4">
    <w:name w:val="样式 标题 1一级标题 + 段前: 0.5 行 段后: 0.5 行"/>
    <w:basedOn w:val="5"/>
    <w:qFormat/>
    <w:uiPriority w:val="99"/>
    <w:pPr>
      <w:snapToGrid w:val="0"/>
      <w:spacing w:before="0" w:after="0" w:line="320" w:lineRule="exact"/>
      <w:jc w:val="center"/>
      <w:outlineLvl w:val="9"/>
    </w:pPr>
    <w:rPr>
      <w:spacing w:val="-6"/>
      <w:kern w:val="0"/>
      <w:sz w:val="21"/>
      <w:szCs w:val="21"/>
    </w:rPr>
  </w:style>
  <w:style w:type="paragraph" w:customStyle="1" w:styleId="6">
    <w:name w:val="正文格式"/>
    <w:basedOn w:val="1"/>
    <w:qFormat/>
    <w:uiPriority w:val="0"/>
    <w:pPr>
      <w:widowControl w:val="0"/>
      <w:numPr>
        <w:ilvl w:val="1"/>
        <w:numId w:val="1"/>
      </w:numPr>
      <w:adjustRightInd/>
      <w:snapToGrid/>
      <w:spacing w:after="0" w:line="360" w:lineRule="auto"/>
      <w:jc w:val="both"/>
    </w:pPr>
    <w:rPr>
      <w:rFonts w:ascii="Calibri" w:hAnsi="Calibri" w:eastAsia="宋体"/>
      <w:kern w:val="2"/>
      <w:sz w:val="21"/>
      <w:lang w:val="zh-CN"/>
    </w:rPr>
  </w:style>
  <w:style w:type="paragraph" w:styleId="7">
    <w:name w:val="Normal Indent"/>
    <w:basedOn w:val="1"/>
    <w:link w:val="36"/>
    <w:unhideWhenUsed/>
    <w:qFormat/>
    <w:uiPriority w:val="0"/>
    <w:pPr>
      <w:ind w:firstLine="420"/>
    </w:pPr>
    <w:rPr>
      <w:rFonts w:eastAsia="宋体"/>
      <w:kern w:val="2"/>
      <w:sz w:val="21"/>
    </w:rPr>
  </w:style>
  <w:style w:type="paragraph" w:styleId="8">
    <w:name w:val="Document Map"/>
    <w:basedOn w:val="1"/>
    <w:link w:val="18"/>
    <w:semiHidden/>
    <w:unhideWhenUsed/>
    <w:qFormat/>
    <w:uiPriority w:val="99"/>
    <w:rPr>
      <w:rFonts w:ascii="宋体" w:eastAsia="宋体"/>
      <w:sz w:val="18"/>
      <w:szCs w:val="18"/>
    </w:rPr>
  </w:style>
  <w:style w:type="paragraph" w:styleId="9">
    <w:name w:val="annotation text"/>
    <w:basedOn w:val="1"/>
    <w:link w:val="22"/>
    <w:qFormat/>
    <w:uiPriority w:val="0"/>
    <w:pPr>
      <w:tabs>
        <w:tab w:val="left" w:pos="377"/>
      </w:tabs>
      <w:adjustRightInd/>
      <w:snapToGrid/>
      <w:spacing w:after="0" w:line="360" w:lineRule="auto"/>
    </w:pPr>
    <w:rPr>
      <w:rFonts w:ascii="宋体" w:hAnsi="Times New Roman" w:eastAsia="宋体"/>
      <w:sz w:val="24"/>
      <w:szCs w:val="24"/>
    </w:rPr>
  </w:style>
  <w:style w:type="paragraph" w:styleId="10">
    <w:name w:val="Balloon Text"/>
    <w:basedOn w:val="1"/>
    <w:link w:val="34"/>
    <w:semiHidden/>
    <w:unhideWhenUsed/>
    <w:qFormat/>
    <w:uiPriority w:val="99"/>
    <w:pPr>
      <w:spacing w:after="0"/>
    </w:pPr>
    <w:rPr>
      <w:sz w:val="18"/>
      <w:szCs w:val="18"/>
    </w:rPr>
  </w:style>
  <w:style w:type="paragraph" w:styleId="11">
    <w:name w:val="footer"/>
    <w:basedOn w:val="1"/>
    <w:link w:val="17"/>
    <w:qFormat/>
    <w:uiPriority w:val="0"/>
    <w:pPr>
      <w:tabs>
        <w:tab w:val="center" w:pos="4153"/>
        <w:tab w:val="right" w:pos="8306"/>
      </w:tabs>
    </w:pPr>
    <w:rPr>
      <w:sz w:val="18"/>
    </w:rPr>
  </w:style>
  <w:style w:type="paragraph" w:styleId="12">
    <w:name w:val="header"/>
    <w:basedOn w:val="1"/>
    <w:link w:val="35"/>
    <w:unhideWhenUsed/>
    <w:qFormat/>
    <w:uiPriority w:val="99"/>
    <w:pPr>
      <w:pBdr>
        <w:bottom w:val="single" w:color="auto" w:sz="6" w:space="1"/>
      </w:pBdr>
      <w:tabs>
        <w:tab w:val="center" w:pos="4153"/>
        <w:tab w:val="right" w:pos="8306"/>
      </w:tabs>
      <w:jc w:val="center"/>
    </w:pPr>
    <w:rPr>
      <w:sz w:val="18"/>
      <w:szCs w:val="18"/>
    </w:rPr>
  </w:style>
  <w:style w:type="table" w:styleId="14">
    <w:name w:val="Table Grid"/>
    <w:basedOn w:val="13"/>
    <w:qFormat/>
    <w:uiPriority w:val="39"/>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fontstyle21"/>
    <w:basedOn w:val="15"/>
    <w:qFormat/>
    <w:uiPriority w:val="0"/>
    <w:rPr>
      <w:rFonts w:ascii="TimesNewRomanPSMT" w:hAnsi="TimesNewRomanPSMT" w:eastAsia="TimesNewRomanPSMT" w:cs="TimesNewRomanPSMT"/>
      <w:color w:val="000000"/>
      <w:sz w:val="24"/>
      <w:szCs w:val="24"/>
    </w:rPr>
  </w:style>
  <w:style w:type="character" w:customStyle="1" w:styleId="17">
    <w:name w:val="页脚 Char"/>
    <w:basedOn w:val="15"/>
    <w:link w:val="11"/>
    <w:qFormat/>
    <w:uiPriority w:val="0"/>
    <w:rPr>
      <w:rFonts w:ascii="Tahoma" w:hAnsi="Tahoma" w:eastAsia="微软雅黑" w:cs="Times New Roman"/>
      <w:kern w:val="0"/>
      <w:sz w:val="18"/>
    </w:rPr>
  </w:style>
  <w:style w:type="character" w:customStyle="1" w:styleId="18">
    <w:name w:val="文档结构图 Char"/>
    <w:basedOn w:val="15"/>
    <w:link w:val="8"/>
    <w:semiHidden/>
    <w:qFormat/>
    <w:uiPriority w:val="99"/>
    <w:rPr>
      <w:rFonts w:ascii="宋体" w:hAnsi="Tahoma" w:eastAsia="宋体" w:cs="Times New Roman"/>
      <w:kern w:val="0"/>
      <w:sz w:val="18"/>
      <w:szCs w:val="18"/>
    </w:rPr>
  </w:style>
  <w:style w:type="paragraph" w:customStyle="1" w:styleId="19">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0">
    <w:name w:val="lm正文"/>
    <w:basedOn w:val="1"/>
    <w:link w:val="21"/>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1">
    <w:name w:val="lm正文 Char"/>
    <w:link w:val="20"/>
    <w:qFormat/>
    <w:uiPriority w:val="0"/>
    <w:rPr>
      <w:rFonts w:ascii="宋体" w:hAnsi="宋体" w:eastAsia="宋体" w:cs="Times New Roman"/>
      <w:kern w:val="0"/>
      <w:sz w:val="24"/>
      <w:szCs w:val="24"/>
    </w:rPr>
  </w:style>
  <w:style w:type="character" w:customStyle="1" w:styleId="22">
    <w:name w:val="批注文字 Char"/>
    <w:basedOn w:val="15"/>
    <w:link w:val="9"/>
    <w:qFormat/>
    <w:uiPriority w:val="0"/>
    <w:rPr>
      <w:rFonts w:ascii="宋体" w:hAnsi="Times New Roman" w:eastAsia="宋体" w:cs="Times New Roman"/>
      <w:kern w:val="0"/>
      <w:sz w:val="24"/>
      <w:szCs w:val="24"/>
    </w:rPr>
  </w:style>
  <w:style w:type="paragraph" w:customStyle="1" w:styleId="23">
    <w:name w:val="lm表头"/>
    <w:basedOn w:val="1"/>
    <w:link w:val="24"/>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4">
    <w:name w:val="lm表头 Char"/>
    <w:link w:val="23"/>
    <w:qFormat/>
    <w:uiPriority w:val="0"/>
    <w:rPr>
      <w:rFonts w:ascii="宋体" w:hAnsi="宋体" w:eastAsia="宋体" w:cs="Times New Roman"/>
      <w:bCs/>
      <w:szCs w:val="21"/>
    </w:rPr>
  </w:style>
  <w:style w:type="paragraph" w:customStyle="1" w:styleId="25">
    <w:name w:val="样式 正文 首行缩进:  2 字符 SL CON + 首行缩进:  2 字符 + 首行缩进:  2 字符 + 首行缩..."/>
    <w:basedOn w:val="1"/>
    <w:link w:val="30"/>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6">
    <w:name w:val="样式 正文 首行缩进:  2 字符 SL CON + 首行缩进:  2 字符"/>
    <w:basedOn w:val="1"/>
    <w:link w:val="27"/>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7">
    <w:name w:val="样式 正文 首行缩进:  2 字符 SL CON + 首行缩进:  2 字符 Char"/>
    <w:link w:val="26"/>
    <w:qFormat/>
    <w:uiPriority w:val="0"/>
    <w:rPr>
      <w:rFonts w:ascii="宋体" w:hAnsi="Times New Roman" w:eastAsia="宋体" w:cs="Times New Roman"/>
      <w:kern w:val="0"/>
      <w:sz w:val="28"/>
      <w:szCs w:val="20"/>
    </w:rPr>
  </w:style>
  <w:style w:type="paragraph" w:customStyle="1" w:styleId="28">
    <w:name w:val="样式 表（或图）标题"/>
    <w:basedOn w:val="1"/>
    <w:link w:val="29"/>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9">
    <w:name w:val="样式 表（或图）标题 Char"/>
    <w:link w:val="28"/>
    <w:qFormat/>
    <w:uiPriority w:val="0"/>
    <w:rPr>
      <w:rFonts w:ascii="宋体" w:hAnsi="宋体" w:eastAsia="宋体" w:cs="Times New Roman"/>
      <w:b/>
      <w:kern w:val="0"/>
      <w:szCs w:val="20"/>
    </w:rPr>
  </w:style>
  <w:style w:type="character" w:customStyle="1" w:styleId="30">
    <w:name w:val="样式 正文 首行缩进:  2 字符 SL CON + 首行缩进:  2 字符 + 首行缩进:  2 字符 + 首行缩... Char"/>
    <w:link w:val="25"/>
    <w:qFormat/>
    <w:uiPriority w:val="0"/>
    <w:rPr>
      <w:rFonts w:ascii="宋体" w:hAnsi="宋体" w:eastAsia="宋体" w:cs="Times New Roman"/>
      <w:kern w:val="0"/>
      <w:sz w:val="28"/>
      <w:szCs w:val="20"/>
    </w:rPr>
  </w:style>
  <w:style w:type="paragraph" w:customStyle="1" w:styleId="31">
    <w:name w:val="lm图例"/>
    <w:basedOn w:val="1"/>
    <w:link w:val="32"/>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2">
    <w:name w:val="lm图例 Char"/>
    <w:link w:val="31"/>
    <w:qFormat/>
    <w:uiPriority w:val="0"/>
    <w:rPr>
      <w:rFonts w:ascii="宋体" w:hAnsi="宋体" w:eastAsia="宋体" w:cs="Times New Roman"/>
    </w:rPr>
  </w:style>
  <w:style w:type="paragraph" w:customStyle="1" w:styleId="33">
    <w:name w:val="第四章图件"/>
    <w:basedOn w:val="7"/>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4">
    <w:name w:val="批注框文本 Char"/>
    <w:basedOn w:val="15"/>
    <w:link w:val="10"/>
    <w:semiHidden/>
    <w:qFormat/>
    <w:uiPriority w:val="99"/>
    <w:rPr>
      <w:rFonts w:ascii="Tahoma" w:hAnsi="Tahoma" w:eastAsia="微软雅黑" w:cs="Times New Roman"/>
      <w:kern w:val="0"/>
      <w:sz w:val="18"/>
      <w:szCs w:val="18"/>
    </w:rPr>
  </w:style>
  <w:style w:type="character" w:customStyle="1" w:styleId="35">
    <w:name w:val="页眉 Char"/>
    <w:basedOn w:val="15"/>
    <w:link w:val="12"/>
    <w:qFormat/>
    <w:uiPriority w:val="99"/>
    <w:rPr>
      <w:rFonts w:ascii="Tahoma" w:hAnsi="Tahoma" w:eastAsia="微软雅黑" w:cs="Times New Roman"/>
      <w:kern w:val="0"/>
      <w:sz w:val="18"/>
      <w:szCs w:val="18"/>
    </w:rPr>
  </w:style>
  <w:style w:type="character" w:customStyle="1" w:styleId="36">
    <w:name w:val="正文缩进 Char"/>
    <w:link w:val="7"/>
    <w:qFormat/>
    <w:uiPriority w:val="0"/>
    <w:rPr>
      <w:rFonts w:ascii="Tahoma" w:hAnsi="Tahoma"/>
      <w:kern w:val="2"/>
      <w:sz w:val="21"/>
      <w:szCs w:val="22"/>
    </w:rPr>
  </w:style>
  <w:style w:type="paragraph" w:customStyle="1" w:styleId="37">
    <w:name w:val="正文ky"/>
    <w:basedOn w:val="1"/>
    <w:qFormat/>
    <w:uiPriority w:val="0"/>
    <w:pPr>
      <w:tabs>
        <w:tab w:val="left" w:pos="377"/>
      </w:tabs>
      <w:adjustRightInd w:val="0"/>
      <w:snapToGrid w:val="0"/>
      <w:ind w:firstLine="480"/>
      <w:jc w:val="left"/>
    </w:pPr>
    <w:rPr>
      <w:rFonts w:ascii="宋体" w:hAnsi="宋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B55E731-DF40-4361-B056-70AC1935C552}"/>
</file>

<file path=customXml/itemProps3.xml><?xml version="1.0" encoding="utf-8"?>
<ds:datastoreItem xmlns:ds="http://schemas.openxmlformats.org/officeDocument/2006/customXml" ds:itemID="{611CFBB2-4924-4D64-B7DF-B6CBED6CDC1B}"/>
</file>

<file path=customXml/itemProps4.xml><?xml version="1.0" encoding="utf-8"?>
<ds:datastoreItem xmlns:ds="http://schemas.openxmlformats.org/officeDocument/2006/customXml" ds:itemID="{538EA06F-4162-4414-B5D5-81A79D883C58}"/>
</file>

<file path=customXml/itemProps5.xml><?xml version="1.0" encoding="utf-8"?>
<ds:datastoreItem xmlns:ds="http://schemas.openxmlformats.org/officeDocument/2006/customXml" ds:itemID="{2941FF31-A73B-4CF0-8708-B5B4A8F09DBA}"/>
</file>

<file path=docProps/app.xml><?xml version="1.0" encoding="utf-8"?>
<Properties xmlns="http://schemas.openxmlformats.org/officeDocument/2006/extended-properties" xmlns:vt="http://schemas.openxmlformats.org/officeDocument/2006/docPropsVTypes">
  <Template>Normal</Template>
  <Company>Microsoft</Company>
  <Pages>7</Pages>
  <Words>824</Words>
  <Characters>4700</Characters>
  <Lines>39</Lines>
  <Paragraphs>11</Paragraphs>
  <TotalTime>1</TotalTime>
  <ScaleCrop>false</ScaleCrop>
  <LinksUpToDate>false</LinksUpToDate>
  <CharactersWithSpaces>5513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123</cp:lastModifiedBy>
  <cp:revision>64</cp:revision>
  <cp:lastPrinted>2019-08-26T16:57:00Z</cp:lastPrinted>
  <dcterms:created xsi:type="dcterms:W3CDTF">2019-02-25T11:20:00Z</dcterms:created>
  <dcterms:modified xsi:type="dcterms:W3CDTF">2021-02-02T03:07:48Z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entTypeId">
    <vt:lpwstr>0x010100313989E510CC474A862876A387D6F14A</vt:lpwstr>
  </property>
</Properties>
</file>