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00" w:lineRule="exact"/>
        <w:jc w:val="center"/>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spacing w:after="0" w:line="360" w:lineRule="auto"/>
        <w:ind w:firstLine="482"/>
        <w:jc w:val="both"/>
        <w:rPr>
          <w:rFonts w:ascii="Times New Roman" w:hAnsi="Times New Roman" w:eastAsia="宋体"/>
          <w:sz w:val="28"/>
          <w:szCs w:val="28"/>
        </w:rPr>
      </w:pPr>
      <w:r>
        <w:rPr>
          <w:rFonts w:hint="eastAsia" w:ascii="Times New Roman" w:hAnsi="Times New Roman" w:eastAsia="宋体"/>
          <w:b/>
          <w:bCs/>
          <w:sz w:val="28"/>
          <w:szCs w:val="28"/>
        </w:rPr>
        <w:t>1.1设计、施工简况</w:t>
      </w:r>
    </w:p>
    <w:p>
      <w:pPr>
        <w:pStyle w:val="26"/>
        <w:adjustRightInd w:val="0"/>
        <w:snapToGrid w:val="0"/>
        <w:ind w:firstLine="482" w:firstLineChars="0"/>
        <w:jc w:val="both"/>
        <w:rPr>
          <w:sz w:val="24"/>
          <w:szCs w:val="24"/>
        </w:rPr>
      </w:pPr>
      <w:r>
        <w:rPr>
          <w:rFonts w:hint="eastAsia"/>
          <w:sz w:val="24"/>
          <w:szCs w:val="24"/>
        </w:rPr>
        <w:t>（1）污水处理依托设施</w:t>
      </w:r>
    </w:p>
    <w:p>
      <w:pPr>
        <w:pStyle w:val="21"/>
        <w:spacing w:line="360" w:lineRule="auto"/>
        <w:ind w:firstLine="482" w:firstLineChars="0"/>
      </w:pPr>
      <w:r>
        <w:rPr>
          <w:rFonts w:hint="eastAsia"/>
          <w:b w:val="0"/>
          <w:bCs/>
        </w:rPr>
        <w:t>本项目</w:t>
      </w:r>
      <w:r>
        <w:rPr>
          <w:rFonts w:hint="eastAsia"/>
          <w:b w:val="0"/>
          <w:bCs/>
          <w:lang w:val="en-US" w:eastAsia="zh-CN"/>
        </w:rPr>
        <w:t>废水</w:t>
      </w:r>
      <w:r>
        <w:rPr>
          <w:rFonts w:hint="eastAsia"/>
          <w:b w:val="0"/>
          <w:bCs/>
        </w:rPr>
        <w:t>主要</w:t>
      </w:r>
      <w:r>
        <w:rPr>
          <w:rFonts w:hint="eastAsia"/>
          <w:b w:val="0"/>
          <w:bCs/>
          <w:lang w:val="en-US" w:eastAsia="zh-CN"/>
        </w:rPr>
        <w:t>为施工期</w:t>
      </w:r>
      <w:r>
        <w:rPr>
          <w:rFonts w:hint="eastAsia"/>
          <w:b w:val="0"/>
          <w:bCs/>
        </w:rPr>
        <w:t>施工人员产生的生活污水、原有管道清管废水及管道试压后产生的试压</w:t>
      </w:r>
      <w:r>
        <w:rPr>
          <w:rFonts w:hint="eastAsia"/>
          <w:b w:val="0"/>
          <w:bCs/>
          <w:lang w:val="en-US" w:eastAsia="zh-CN"/>
        </w:rPr>
        <w:t>废</w:t>
      </w:r>
      <w:r>
        <w:rPr>
          <w:rFonts w:hint="eastAsia"/>
          <w:b w:val="0"/>
          <w:bCs/>
        </w:rPr>
        <w:t>水。施工人员生活废水依托周边</w:t>
      </w:r>
      <w:r>
        <w:rPr>
          <w:rFonts w:hint="eastAsia"/>
          <w:b w:val="0"/>
          <w:bCs/>
          <w:lang w:val="en-US" w:eastAsia="zh-CN"/>
        </w:rPr>
        <w:t>现有</w:t>
      </w:r>
      <w:r>
        <w:rPr>
          <w:rFonts w:hint="eastAsia"/>
          <w:b w:val="0"/>
          <w:bCs/>
        </w:rPr>
        <w:t>的生活设施；</w:t>
      </w:r>
      <w:r>
        <w:rPr>
          <w:rFonts w:hint="eastAsia"/>
          <w:b w:val="0"/>
          <w:bCs/>
          <w:lang w:val="en-US" w:eastAsia="zh-CN"/>
        </w:rPr>
        <w:t>原有管道</w:t>
      </w:r>
      <w:r>
        <w:rPr>
          <w:rFonts w:hint="eastAsia"/>
          <w:b w:val="0"/>
          <w:bCs/>
        </w:rPr>
        <w:t>清管</w:t>
      </w:r>
      <w:r>
        <w:rPr>
          <w:rFonts w:hint="eastAsia"/>
          <w:b w:val="0"/>
          <w:bCs/>
          <w:lang w:val="en-US" w:eastAsia="zh-CN"/>
        </w:rPr>
        <w:t>和新建管道</w:t>
      </w:r>
      <w:r>
        <w:rPr>
          <w:rFonts w:hint="eastAsia"/>
          <w:b w:val="0"/>
          <w:bCs/>
        </w:rPr>
        <w:t>试压采用清洁水，</w:t>
      </w:r>
      <w:r>
        <w:rPr>
          <w:rFonts w:hint="eastAsia"/>
          <w:b w:val="0"/>
          <w:bCs/>
          <w:lang w:val="en-US" w:eastAsia="zh-CN"/>
        </w:rPr>
        <w:t>收集后近</w:t>
      </w:r>
      <w:r>
        <w:rPr>
          <w:rFonts w:hint="eastAsia"/>
          <w:b w:val="0"/>
          <w:bCs/>
        </w:rPr>
        <w:t>拉运至</w:t>
      </w:r>
      <w:r>
        <w:rPr>
          <w:rFonts w:hint="eastAsia"/>
          <w:b w:val="0"/>
          <w:bCs/>
          <w:lang w:val="en-US" w:eastAsia="zh-CN"/>
        </w:rPr>
        <w:t>埕东</w:t>
      </w:r>
      <w:r>
        <w:rPr>
          <w:rFonts w:hint="eastAsia"/>
          <w:b w:val="0"/>
          <w:bCs/>
        </w:rPr>
        <w:t>联合站处理</w:t>
      </w:r>
      <w:r>
        <w:rPr>
          <w:rFonts w:hint="eastAsia"/>
          <w:b w:val="0"/>
          <w:bCs/>
          <w:lang w:eastAsia="zh-CN"/>
        </w:rPr>
        <w:t>，</w:t>
      </w:r>
      <w:r>
        <w:rPr>
          <w:rFonts w:hint="eastAsia"/>
          <w:b w:val="0"/>
          <w:bCs/>
        </w:rPr>
        <w:t>达到《碎屑岩油藏注水水质推荐指标及分析方法》（SY/T5329-2012）相关</w:t>
      </w:r>
      <w:r>
        <w:rPr>
          <w:rFonts w:hint="eastAsia"/>
          <w:b w:val="0"/>
          <w:bCs/>
          <w:lang w:val="en-US" w:eastAsia="zh-CN"/>
        </w:rPr>
        <w:t>指标</w:t>
      </w:r>
      <w:r>
        <w:rPr>
          <w:rFonts w:hint="eastAsia"/>
          <w:b w:val="0"/>
          <w:bCs/>
        </w:rPr>
        <w:t>要求后</w:t>
      </w:r>
      <w:r>
        <w:rPr>
          <w:rFonts w:hint="eastAsia"/>
          <w:b w:val="0"/>
          <w:bCs/>
          <w:lang w:eastAsia="zh-CN"/>
        </w:rPr>
        <w:t>，</w:t>
      </w:r>
      <w:r>
        <w:rPr>
          <w:rFonts w:hint="eastAsia"/>
          <w:b w:val="0"/>
          <w:bCs/>
        </w:rPr>
        <w:t>用于油田的注水开发</w:t>
      </w:r>
      <w:r>
        <w:rPr>
          <w:rFonts w:hint="eastAsia"/>
          <w:b w:val="0"/>
          <w:bCs/>
          <w:lang w:eastAsia="zh-CN"/>
        </w:rPr>
        <w:t>，</w:t>
      </w:r>
      <w:r>
        <w:rPr>
          <w:rFonts w:hint="eastAsia"/>
          <w:b w:val="0"/>
          <w:bCs/>
          <w:lang w:val="en-US" w:eastAsia="zh-CN"/>
        </w:rPr>
        <w:t>不外排</w:t>
      </w:r>
      <w:r>
        <w:rPr>
          <w:rFonts w:hint="eastAsia"/>
        </w:rPr>
        <w:t>。</w:t>
      </w:r>
    </w:p>
    <w:p>
      <w:pPr>
        <w:pStyle w:val="26"/>
        <w:widowControl w:val="0"/>
        <w:adjustRightInd w:val="0"/>
        <w:snapToGrid w:val="0"/>
        <w:ind w:firstLine="482" w:firstLineChars="0"/>
        <w:jc w:val="both"/>
        <w:rPr>
          <w:sz w:val="24"/>
          <w:szCs w:val="24"/>
        </w:rPr>
      </w:pPr>
      <w:r>
        <w:rPr>
          <w:rFonts w:hint="eastAsia"/>
          <w:sz w:val="24"/>
          <w:szCs w:val="24"/>
        </w:rPr>
        <w:t>（</w:t>
      </w:r>
      <w:r>
        <w:rPr>
          <w:rFonts w:hint="eastAsia"/>
          <w:sz w:val="24"/>
          <w:szCs w:val="24"/>
          <w:lang w:val="en-US" w:eastAsia="zh-CN"/>
        </w:rPr>
        <w:t>2</w:t>
      </w:r>
      <w:r>
        <w:rPr>
          <w:rFonts w:hint="eastAsia"/>
          <w:sz w:val="24"/>
          <w:szCs w:val="24"/>
        </w:rPr>
        <w:t>）固体废物处理依托设施</w:t>
      </w:r>
    </w:p>
    <w:p>
      <w:pPr>
        <w:pStyle w:val="21"/>
        <w:spacing w:line="360" w:lineRule="auto"/>
      </w:pPr>
      <w:r>
        <w:rPr>
          <w:rFonts w:hint="eastAsia"/>
          <w:b w:val="0"/>
          <w:bCs/>
        </w:rPr>
        <w:t>本项目施工中的固体废物主要为施工废料、</w:t>
      </w:r>
      <w:r>
        <w:rPr>
          <w:rFonts w:hint="eastAsia"/>
          <w:b w:val="0"/>
          <w:bCs/>
          <w:lang w:val="en-US" w:eastAsia="zh-CN"/>
        </w:rPr>
        <w:t>多余</w:t>
      </w:r>
      <w:r>
        <w:rPr>
          <w:rFonts w:hint="eastAsia"/>
          <w:b w:val="0"/>
          <w:bCs/>
        </w:rPr>
        <w:t>土方</w:t>
      </w:r>
      <w:r>
        <w:rPr>
          <w:rFonts w:hint="eastAsia"/>
          <w:b w:val="0"/>
          <w:bCs/>
          <w:lang w:eastAsia="zh-CN"/>
        </w:rPr>
        <w:t>、</w:t>
      </w:r>
      <w:r>
        <w:rPr>
          <w:rFonts w:hint="eastAsia"/>
          <w:b w:val="0"/>
          <w:bCs/>
          <w:lang w:val="en-US" w:eastAsia="zh-CN"/>
        </w:rPr>
        <w:t>废弃泥浆</w:t>
      </w:r>
      <w:r>
        <w:rPr>
          <w:rFonts w:hint="eastAsia"/>
          <w:b w:val="0"/>
          <w:bCs/>
        </w:rPr>
        <w:t>及生活垃圾。施工废料由施工单位进行回收利用，不能利用的运至环卫部门指定地点由环卫部门处理；管沟开挖、穿跨越过程产生的土方分层回填，多余土方就近平整土地；</w:t>
      </w:r>
      <w:r>
        <w:rPr>
          <w:rFonts w:hint="eastAsia"/>
          <w:b w:val="0"/>
          <w:bCs/>
          <w:lang w:val="en-US" w:eastAsia="zh-CN"/>
        </w:rPr>
        <w:t>废弃泥浆采取自然干化后，覆土填埋；</w:t>
      </w:r>
      <w:r>
        <w:rPr>
          <w:rFonts w:hint="eastAsia"/>
          <w:b w:val="0"/>
          <w:bCs/>
        </w:rPr>
        <w:t>施工人员产生的生活垃圾经统一收集后送至当地环保部门指定地点，由环卫部门处理</w:t>
      </w:r>
      <w:r>
        <w:rPr>
          <w:rFonts w:hint="eastAsia"/>
        </w:rPr>
        <w:t>。</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ascii="Times New Roman" w:hAnsi="Times New Roman" w:eastAsia="宋体"/>
          <w:b/>
          <w:bCs/>
          <w:sz w:val="28"/>
          <w:szCs w:val="28"/>
        </w:rPr>
        <w:t>验收过程简况</w:t>
      </w:r>
    </w:p>
    <w:p>
      <w:pPr>
        <w:spacing w:after="0" w:line="360" w:lineRule="auto"/>
        <w:ind w:firstLine="480" w:firstLineChars="200"/>
        <w:jc w:val="both"/>
        <w:rPr>
          <w:rFonts w:ascii="宋体" w:hAnsi="宋体" w:eastAsia="宋体" w:cs="宋体"/>
          <w:color w:val="000000"/>
          <w:sz w:val="24"/>
          <w:szCs w:val="24"/>
        </w:rPr>
      </w:pPr>
      <w:r>
        <w:rPr>
          <w:rFonts w:hint="eastAsia" w:ascii="宋体" w:hAnsi="宋体" w:eastAsia="宋体" w:cs="宋体"/>
          <w:color w:val="000000"/>
          <w:sz w:val="24"/>
          <w:szCs w:val="24"/>
        </w:rPr>
        <w:t>本项目验收过程见表</w:t>
      </w:r>
      <w:r>
        <w:rPr>
          <w:rStyle w:val="17"/>
        </w:rPr>
        <w:t>1</w:t>
      </w:r>
      <w:r>
        <w:rPr>
          <w:rFonts w:ascii="宋体" w:hAnsi="宋体" w:eastAsia="宋体" w:cs="宋体"/>
          <w:color w:val="000000"/>
          <w:sz w:val="24"/>
          <w:szCs w:val="24"/>
        </w:rPr>
        <w:t>。</w:t>
      </w:r>
    </w:p>
    <w:p>
      <w:pPr>
        <w:pStyle w:val="24"/>
        <w:adjustRightInd w:val="0"/>
        <w:snapToGrid w:val="0"/>
        <w:spacing w:beforeLines="0" w:line="360" w:lineRule="auto"/>
        <w:rPr>
          <w:kern w:val="0"/>
        </w:rPr>
      </w:pPr>
      <w:r>
        <w:rPr>
          <w:rFonts w:hint="eastAsia"/>
          <w:kern w:val="0"/>
        </w:rPr>
        <w:t>表1  竣工环境保护验收过程一览表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541"/>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Align w:val="center"/>
          </w:tcPr>
          <w:p>
            <w:pPr>
              <w:pStyle w:val="20"/>
            </w:pPr>
            <w:r>
              <w:t>项目名称</w:t>
            </w:r>
          </w:p>
        </w:tc>
        <w:tc>
          <w:tcPr>
            <w:tcW w:w="1368" w:type="pct"/>
          </w:tcPr>
          <w:p>
            <w:pPr>
              <w:pStyle w:val="20"/>
            </w:pPr>
            <w:r>
              <w:t>程序流程</w:t>
            </w:r>
          </w:p>
        </w:tc>
        <w:tc>
          <w:tcPr>
            <w:tcW w:w="2194" w:type="pct"/>
            <w:vAlign w:val="center"/>
          </w:tcPr>
          <w:p>
            <w:pPr>
              <w:pStyle w:val="20"/>
            </w:pPr>
            <w: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restart"/>
            <w:vAlign w:val="center"/>
          </w:tcPr>
          <w:p>
            <w:pPr>
              <w:pStyle w:val="20"/>
            </w:pPr>
            <w:r>
              <w:rPr>
                <w:rFonts w:hint="default"/>
                <w:lang w:val="en-US" w:eastAsia="zh-CN"/>
              </w:rPr>
              <w:t>太平油田沾18块沾18-9-16等井区侧钻调整工程</w:t>
            </w:r>
          </w:p>
        </w:tc>
        <w:tc>
          <w:tcPr>
            <w:tcW w:w="1368" w:type="pct"/>
          </w:tcPr>
          <w:p>
            <w:pPr>
              <w:pStyle w:val="20"/>
              <w:rPr>
                <w:rFonts w:ascii="Times New Roman" w:hAnsi="Times New Roman"/>
              </w:rPr>
            </w:pPr>
            <w:r>
              <w:rPr>
                <w:rFonts w:ascii="Times New Roman" w:hAnsi="Times New Roman"/>
              </w:rPr>
              <w:t>竣工时间</w:t>
            </w:r>
          </w:p>
        </w:tc>
        <w:tc>
          <w:tcPr>
            <w:tcW w:w="2194" w:type="pct"/>
            <w:vAlign w:val="center"/>
          </w:tcPr>
          <w:p>
            <w:pPr>
              <w:pStyle w:val="20"/>
              <w:rPr>
                <w:rFonts w:ascii="Times New Roman" w:hAnsi="Times New Roma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8</w:t>
            </w:r>
            <w:r>
              <w:rPr>
                <w:rFonts w:ascii="Times New Roman" w:hAnsi="Times New Roman"/>
              </w:rPr>
              <w:t>月</w:t>
            </w:r>
            <w:r>
              <w:rPr>
                <w:rFonts w:hint="eastAsia" w:ascii="Times New Roman" w:hAnsi="Times New Roman"/>
                <w:lang w:val="en-US" w:eastAsia="zh-CN"/>
              </w:rPr>
              <w:t>15</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委托时间</w:t>
            </w:r>
          </w:p>
        </w:tc>
        <w:tc>
          <w:tcPr>
            <w:tcW w:w="2194" w:type="pct"/>
            <w:vAlign w:val="center"/>
          </w:tcPr>
          <w:p>
            <w:pPr>
              <w:pStyle w:val="20"/>
              <w:rPr>
                <w:rFonts w:hint="default" w:ascii="Times New Roman" w:hAnsi="Times New Roman" w:eastAsia="宋体"/>
                <w:lang w:val="en-US" w:eastAsia="zh-C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8</w:t>
            </w:r>
            <w:r>
              <w:rPr>
                <w:rFonts w:ascii="Times New Roman" w:hAnsi="Times New Roman"/>
              </w:rPr>
              <w:t>月</w:t>
            </w:r>
            <w:r>
              <w:rPr>
                <w:rFonts w:hint="eastAsia" w:ascii="Times New Roman" w:hAnsi="Times New Roman"/>
                <w:lang w:val="en-US" w:eastAsia="zh-CN"/>
              </w:rPr>
              <w:t>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调试时间</w:t>
            </w:r>
          </w:p>
        </w:tc>
        <w:tc>
          <w:tcPr>
            <w:tcW w:w="2194" w:type="pct"/>
            <w:vAlign w:val="center"/>
          </w:tcPr>
          <w:p>
            <w:pPr>
              <w:pStyle w:val="20"/>
              <w:rPr>
                <w:rFonts w:ascii="Times New Roman" w:hAnsi="Times New Roman"/>
              </w:rPr>
            </w:pPr>
            <w:r>
              <w:rPr>
                <w:rFonts w:ascii="Times New Roman" w:hAnsi="Times New Roman"/>
                <w:szCs w:val="24"/>
              </w:rPr>
              <w:t>20</w:t>
            </w:r>
            <w:r>
              <w:rPr>
                <w:rFonts w:hint="eastAsia" w:ascii="Times New Roman" w:hAnsi="Times New Roman"/>
                <w:szCs w:val="24"/>
                <w:lang w:val="en-US" w:eastAsia="zh-CN"/>
              </w:rPr>
              <w:t>20</w:t>
            </w:r>
            <w:r>
              <w:rPr>
                <w:rFonts w:ascii="Times New Roman" w:hAnsi="Times New Roman"/>
                <w:szCs w:val="24"/>
              </w:rPr>
              <w:t>年</w:t>
            </w:r>
            <w:r>
              <w:rPr>
                <w:rFonts w:hint="eastAsia" w:ascii="Times New Roman" w:hAnsi="Times New Roman"/>
                <w:szCs w:val="24"/>
                <w:lang w:val="en-US" w:eastAsia="zh-CN"/>
              </w:rPr>
              <w:t>8</w:t>
            </w:r>
            <w:r>
              <w:rPr>
                <w:rFonts w:ascii="Times New Roman" w:hAnsi="Times New Roman"/>
                <w:szCs w:val="24"/>
              </w:rPr>
              <w:t>月——202</w:t>
            </w:r>
            <w:r>
              <w:rPr>
                <w:rFonts w:hint="eastAsia" w:ascii="Times New Roman" w:hAnsi="Times New Roman"/>
                <w:szCs w:val="24"/>
                <w:lang w:val="en-US" w:eastAsia="zh-CN"/>
              </w:rPr>
              <w:t>1</w:t>
            </w:r>
            <w:r>
              <w:rPr>
                <w:rFonts w:ascii="Times New Roman" w:hAnsi="Times New Roman"/>
                <w:szCs w:val="24"/>
              </w:rPr>
              <w:t>年</w:t>
            </w:r>
            <w:r>
              <w:rPr>
                <w:rFonts w:hint="eastAsia" w:ascii="Times New Roman" w:hAnsi="Times New Roman"/>
                <w:szCs w:val="24"/>
                <w:lang w:val="en-US" w:eastAsia="zh-CN"/>
              </w:rPr>
              <w:t>1</w:t>
            </w:r>
            <w:r>
              <w:rPr>
                <w:rFonts w:ascii="Times New Roman" w:hAnsi="Times New Roman"/>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vAlign w:val="center"/>
          </w:tcPr>
          <w:p>
            <w:pPr>
              <w:pStyle w:val="20"/>
              <w:rPr>
                <w:rFonts w:ascii="Times New Roman" w:hAnsi="Times New Roman"/>
              </w:rPr>
            </w:pPr>
            <w:r>
              <w:rPr>
                <w:rFonts w:ascii="Times New Roman" w:hAnsi="Times New Roman"/>
              </w:rPr>
              <w:t>检测时间</w:t>
            </w:r>
          </w:p>
        </w:tc>
        <w:tc>
          <w:tcPr>
            <w:tcW w:w="2194" w:type="pct"/>
            <w:vAlign w:val="center"/>
          </w:tcPr>
          <w:p>
            <w:pPr>
              <w:pStyle w:val="20"/>
              <w:rPr>
                <w:rFonts w:hint="eastAsia" w:ascii="Times New Roman" w:hAnsi="Times New Roman" w:eastAsia="宋体"/>
                <w:lang w:eastAsia="zh-CN"/>
              </w:rPr>
            </w:pPr>
            <w:r>
              <w:rPr>
                <w:rFonts w:hint="eastAsia" w:ascii="Times New Roman" w:hAnsi="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自主验收时间</w:t>
            </w:r>
          </w:p>
        </w:tc>
        <w:tc>
          <w:tcPr>
            <w:tcW w:w="2194" w:type="pct"/>
            <w:vAlign w:val="center"/>
          </w:tcPr>
          <w:p>
            <w:pPr>
              <w:pStyle w:val="20"/>
              <w:rPr>
                <w:rFonts w:ascii="Times New Roman" w:hAnsi="Times New Roman"/>
              </w:rPr>
            </w:pPr>
            <w:r>
              <w:rPr>
                <w:rFonts w:ascii="Times New Roman" w:hAnsi="Times New Roman"/>
              </w:rPr>
              <w:t>2020年</w:t>
            </w:r>
            <w:r>
              <w:rPr>
                <w:rFonts w:hint="eastAsia" w:ascii="Times New Roman" w:hAnsi="Times New Roman"/>
                <w:lang w:val="en-US" w:eastAsia="zh-CN"/>
              </w:rPr>
              <w:t>11</w:t>
            </w:r>
            <w:r>
              <w:rPr>
                <w:rFonts w:ascii="Times New Roman" w:hAnsi="Times New Roman"/>
              </w:rPr>
              <w:t>月</w:t>
            </w:r>
            <w:r>
              <w:rPr>
                <w:rFonts w:hint="eastAsia" w:ascii="Times New Roman" w:hAnsi="Times New Roman"/>
                <w:lang w:val="en-US" w:eastAsia="zh-CN"/>
              </w:rPr>
              <w:t>27</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验收报告公示时间</w:t>
            </w:r>
          </w:p>
        </w:tc>
        <w:tc>
          <w:tcPr>
            <w:tcW w:w="2194" w:type="pct"/>
            <w:vAlign w:val="center"/>
          </w:tcPr>
          <w:p>
            <w:pPr>
              <w:pStyle w:val="20"/>
              <w:rPr>
                <w:rFonts w:ascii="Times New Roman" w:hAnsi="Times New Roman"/>
              </w:rPr>
            </w:pPr>
            <w:r>
              <w:rPr>
                <w:rFonts w:ascii="Times New Roman" w:hAnsi="Times New Roman"/>
              </w:rPr>
              <w:t>2020年</w:t>
            </w:r>
            <w:r>
              <w:rPr>
                <w:rFonts w:hint="eastAsia" w:ascii="Times New Roman" w:hAnsi="Times New Roman"/>
                <w:lang w:val="en-US" w:eastAsia="zh-CN"/>
              </w:rPr>
              <w:t>12</w:t>
            </w:r>
            <w:r>
              <w:rPr>
                <w:rFonts w:ascii="Times New Roman" w:hAnsi="Times New Roman"/>
              </w:rPr>
              <w:t>月</w:t>
            </w:r>
            <w:r>
              <w:rPr>
                <w:rFonts w:hint="eastAsia" w:ascii="Times New Roman" w:hAnsi="Times New Roman"/>
                <w:lang w:val="en-US" w:eastAsia="zh-CN"/>
              </w:rPr>
              <w:t>8</w:t>
            </w:r>
            <w:r>
              <w:rPr>
                <w:rFonts w:ascii="Times New Roman" w:hAnsi="Times New Roman"/>
              </w:rPr>
              <w:t>日—</w:t>
            </w:r>
            <w:r>
              <w:rPr>
                <w:rFonts w:hint="eastAsia" w:ascii="Times New Roman" w:hAnsi="Times New Roman"/>
                <w:lang w:val="en-US" w:eastAsia="zh-CN"/>
              </w:rPr>
              <w:t>2021年1</w:t>
            </w:r>
            <w:r>
              <w:rPr>
                <w:rFonts w:ascii="Times New Roman" w:hAnsi="Times New Roman"/>
              </w:rPr>
              <w:t>月</w:t>
            </w:r>
            <w:r>
              <w:rPr>
                <w:rFonts w:hint="eastAsia" w:ascii="Times New Roman" w:hAnsi="Times New Roman"/>
                <w:lang w:val="en-US" w:eastAsia="zh-CN"/>
              </w:rPr>
              <w:t>6</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全国网公示时间</w:t>
            </w:r>
          </w:p>
        </w:tc>
        <w:tc>
          <w:tcPr>
            <w:tcW w:w="2194" w:type="pct"/>
            <w:vAlign w:val="center"/>
          </w:tcPr>
          <w:p>
            <w:pPr>
              <w:pStyle w:val="20"/>
              <w:rPr>
                <w:rFonts w:hint="default" w:ascii="Times New Roman" w:hAnsi="Times New Roman" w:eastAsia="宋体"/>
                <w:lang w:val="en-US" w:eastAsia="zh-CN"/>
              </w:rPr>
            </w:pPr>
          </w:p>
        </w:tc>
      </w:tr>
    </w:tbl>
    <w:p>
      <w:pPr>
        <w:spacing w:after="0" w:line="360" w:lineRule="auto"/>
        <w:ind w:firstLine="482"/>
        <w:jc w:val="both"/>
        <w:rPr>
          <w:rFonts w:ascii="Times New Roman" w:hAnsi="Times New Roman" w:eastAsia="宋体"/>
          <w:b/>
          <w:bCs/>
          <w:sz w:val="21"/>
          <w:szCs w:val="21"/>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2其他环境保护措施的落实情况</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2.1制度措施落实情况</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2.1.1 环保组织机构</w:t>
      </w:r>
    </w:p>
    <w:p>
      <w:pPr>
        <w:pStyle w:val="21"/>
        <w:spacing w:line="360" w:lineRule="auto"/>
      </w:pPr>
      <w:r>
        <w:rPr>
          <w:rFonts w:hint="eastAsia"/>
        </w:rPr>
        <w:t>建设单位QHS</w:t>
      </w:r>
      <w:r>
        <w:t>S</w:t>
      </w:r>
      <w:r>
        <w:rPr>
          <w:rFonts w:hint="eastAsia"/>
        </w:rPr>
        <w:t>E管理</w:t>
      </w:r>
      <w:r>
        <w:rPr>
          <w:rFonts w:hint="eastAsia"/>
          <w:lang w:val="en-US" w:eastAsia="zh-CN"/>
        </w:rPr>
        <w:t>部</w:t>
      </w:r>
      <w:r>
        <w:rPr>
          <w:rFonts w:hint="eastAsia"/>
        </w:rPr>
        <w:t>负责全公司环保专业技术综合管理，机关各业务部门按各自环保管理职责负责分管业务范围内的环保管理。采油厂所属各单位、直属单位按采油厂环保管理实施细则负责本单位环保管理。</w:t>
      </w:r>
    </w:p>
    <w:p>
      <w:pPr>
        <w:pStyle w:val="21"/>
        <w:spacing w:line="360" w:lineRule="auto"/>
      </w:pPr>
      <w:r>
        <w:rPr>
          <w:rFonts w:hint="eastAsia"/>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书提出环保措施的实施。</w:t>
      </w:r>
    </w:p>
    <w:p>
      <w:pPr>
        <w:pStyle w:val="21"/>
        <w:spacing w:line="360" w:lineRule="auto"/>
      </w:pPr>
      <w:r>
        <w:rPr>
          <w:rFonts w:hint="eastAsia"/>
        </w:rPr>
        <w:t>在生产运营期，由建设单位QHS</w:t>
      </w:r>
      <w:r>
        <w:t>S</w:t>
      </w:r>
      <w:r>
        <w:rPr>
          <w:rFonts w:hint="eastAsia"/>
        </w:rPr>
        <w:t>E管理</w:t>
      </w:r>
      <w:r>
        <w:rPr>
          <w:rFonts w:hint="eastAsia"/>
          <w:lang w:val="en-US" w:eastAsia="zh-CN"/>
        </w:rPr>
        <w:t>部</w:t>
      </w:r>
      <w:r>
        <w:rPr>
          <w:rFonts w:hint="eastAsia"/>
        </w:rPr>
        <w:t>统一负责本项目的环保管理工作，在井区内设置专职环保员，负责环保文件和技术资料的归档，协助进行环保工程的验收，负责运营期间的环境监测、事故防范和外部协调工作。</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2.1.</w:t>
      </w: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环境风险防范措施</w:t>
      </w:r>
    </w:p>
    <w:p>
      <w:pPr>
        <w:spacing w:after="0" w:line="360" w:lineRule="auto"/>
        <w:ind w:firstLine="480" w:firstLineChars="200"/>
        <w:rPr>
          <w:rFonts w:ascii="宋体" w:hAnsi="宋体" w:eastAsia="宋体" w:cs="宋体"/>
          <w:color w:val="000000"/>
          <w:sz w:val="24"/>
          <w:szCs w:val="24"/>
        </w:rPr>
      </w:pPr>
      <w:r>
        <w:rPr>
          <w:rFonts w:hint="eastAsia" w:ascii="宋体" w:hAnsi="宋体" w:eastAsia="宋体" w:cs="宋体"/>
          <w:bCs/>
          <w:sz w:val="24"/>
          <w:szCs w:val="24"/>
        </w:rPr>
        <w:t>项目的风险事故主要是</w:t>
      </w:r>
      <w:r>
        <w:rPr>
          <w:rFonts w:hint="eastAsia" w:ascii="宋体" w:hAnsi="宋体" w:eastAsia="宋体" w:cs="宋体"/>
          <w:color w:val="000000"/>
          <w:sz w:val="24"/>
          <w:szCs w:val="24"/>
        </w:rPr>
        <w:t>施工期钻井期间的井喷事故，运营期管线穿孔、破裂造成的泄漏事故。</w:t>
      </w:r>
    </w:p>
    <w:p>
      <w:pPr>
        <w:spacing w:after="0" w:line="360" w:lineRule="auto"/>
        <w:ind w:firstLine="480" w:firstLineChars="200"/>
        <w:rPr>
          <w:rFonts w:ascii="宋体" w:hAnsi="宋体" w:eastAsia="宋体" w:cs="宋体"/>
          <w:bCs/>
          <w:sz w:val="24"/>
          <w:szCs w:val="24"/>
        </w:rPr>
      </w:pPr>
      <w:r>
        <w:rPr>
          <w:rFonts w:hint="eastAsia" w:ascii="Times New Roman" w:hAnsi="Times New Roman" w:eastAsia="宋体" w:cs="宋体"/>
          <w:bCs/>
          <w:color w:val="000000"/>
          <w:sz w:val="24"/>
          <w:szCs w:val="20"/>
          <w:lang w:val="zh-CN"/>
        </w:rPr>
        <w:t>①</w:t>
      </w:r>
      <w:r>
        <w:rPr>
          <w:rFonts w:hint="eastAsia" w:ascii="宋体" w:hAnsi="宋体" w:eastAsia="宋体" w:cs="宋体"/>
          <w:bCs/>
          <w:sz w:val="24"/>
          <w:szCs w:val="24"/>
        </w:rPr>
        <w:t>单井集油管线涂防腐保护层，加强管线巡检，及时发现问题。</w:t>
      </w:r>
    </w:p>
    <w:p>
      <w:pPr>
        <w:spacing w:after="0" w:line="360" w:lineRule="auto"/>
        <w:ind w:firstLine="480" w:firstLineChars="200"/>
        <w:rPr>
          <w:rFonts w:ascii="宋体" w:hAnsi="宋体" w:eastAsia="宋体" w:cs="宋体"/>
          <w:bCs/>
          <w:sz w:val="24"/>
          <w:szCs w:val="24"/>
        </w:rPr>
      </w:pPr>
      <w:r>
        <w:rPr>
          <w:rFonts w:hint="eastAsia" w:ascii="Times New Roman" w:hAnsi="Times New Roman" w:eastAsia="宋体" w:cs="宋体"/>
          <w:bCs/>
          <w:color w:val="000000"/>
          <w:sz w:val="24"/>
          <w:szCs w:val="20"/>
          <w:lang w:val="zh-CN"/>
        </w:rPr>
        <w:t>②</w:t>
      </w:r>
      <w:r>
        <w:rPr>
          <w:rFonts w:hint="eastAsia" w:ascii="宋体" w:hAnsi="宋体" w:eastAsia="宋体" w:cs="宋体"/>
          <w:bCs/>
          <w:sz w:val="24"/>
          <w:szCs w:val="24"/>
        </w:rPr>
        <w:t>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pPr>
        <w:spacing w:after="0" w:line="360" w:lineRule="auto"/>
        <w:ind w:firstLine="482"/>
        <w:jc w:val="both"/>
        <w:rPr>
          <w:rFonts w:ascii="Times New Roman" w:hAnsi="Times New Roman" w:eastAsia="宋体"/>
          <w:b/>
          <w:bCs/>
          <w:sz w:val="24"/>
          <w:szCs w:val="24"/>
        </w:rPr>
      </w:pPr>
      <w:r>
        <w:rPr>
          <w:rFonts w:hint="eastAsia" w:ascii="Times New Roman" w:hAnsi="Times New Roman" w:eastAsia="宋体"/>
          <w:b/>
          <w:bCs/>
          <w:sz w:val="24"/>
          <w:szCs w:val="24"/>
        </w:rPr>
        <w:t>2.1.3</w:t>
      </w:r>
      <w:r>
        <w:rPr>
          <w:rFonts w:ascii="Times New Roman" w:hAnsi="Times New Roman" w:eastAsia="宋体"/>
          <w:b/>
          <w:bCs/>
          <w:sz w:val="24"/>
          <w:szCs w:val="24"/>
        </w:rPr>
        <w:t>环境监测计划</w:t>
      </w:r>
    </w:p>
    <w:p>
      <w:pPr>
        <w:pStyle w:val="21"/>
        <w:spacing w:line="360" w:lineRule="auto"/>
      </w:pPr>
      <w:r>
        <w:rPr>
          <w:rFonts w:hint="eastAsia"/>
        </w:rPr>
        <w:t>本项目已经按环评文件要求制定环境监测计划，目前，企业刚通过竣工环保验收，工作时间较短，尚未进行环境监测。</w:t>
      </w:r>
    </w:p>
    <w:p>
      <w:pPr>
        <w:pStyle w:val="21"/>
        <w:spacing w:line="360" w:lineRule="auto"/>
      </w:pPr>
      <w:r>
        <w:t>通过现场调查发现，</w:t>
      </w:r>
      <w:r>
        <w:rPr>
          <w:rFonts w:hint="eastAsia"/>
          <w:lang w:val="en-US" w:eastAsia="zh-CN"/>
        </w:rPr>
        <w:t>河口</w:t>
      </w:r>
      <w:r>
        <w:rPr>
          <w:rFonts w:hint="eastAsia"/>
        </w:rPr>
        <w:t>采油厂</w:t>
      </w:r>
      <w:r>
        <w:t>及其下属各施工单位和运营单位对环境保护工作比较重视，在施工期及运营期建立了HSE管理体系。</w:t>
      </w:r>
    </w:p>
    <w:p>
      <w:pPr>
        <w:pStyle w:val="21"/>
        <w:spacing w:line="360" w:lineRule="auto"/>
      </w:pPr>
      <w:r>
        <w:t>从现场调查和监测资料查阅来看，</w:t>
      </w:r>
      <w:r>
        <w:rPr>
          <w:rFonts w:hint="eastAsia"/>
          <w:lang w:val="en-US" w:eastAsia="zh-CN"/>
        </w:rPr>
        <w:t>河口</w:t>
      </w:r>
      <w:r>
        <w:rPr>
          <w:rFonts w:hint="eastAsia"/>
        </w:rPr>
        <w:t>采油厂</w:t>
      </w:r>
      <w:r>
        <w:t>按照</w:t>
      </w:r>
      <w:r>
        <w:rPr>
          <w:color w:val="000000" w:themeColor="text1"/>
        </w:rPr>
        <w:t>胜利油田QHSSE委员会</w:t>
      </w:r>
      <w:r>
        <w:t>的监测计划，对废气、固体废物处置、噪声进行了现场监测。</w:t>
      </w:r>
    </w:p>
    <w:p>
      <w:pPr>
        <w:pStyle w:val="21"/>
        <w:spacing w:line="360" w:lineRule="auto"/>
        <w:rPr>
          <w:snapToGrid w:val="0"/>
          <w:kern w:val="2"/>
        </w:rPr>
      </w:pPr>
      <w:r>
        <w:rPr>
          <w:rFonts w:hint="eastAsia"/>
        </w:rPr>
        <w:t>建设单位对污染源、污染治理设施运行效果制定了详细的环境监测计划，对于不具备监测能力的委托有资质单位进行。</w:t>
      </w:r>
    </w:p>
    <w:p>
      <w:pPr>
        <w:adjustRightInd/>
        <w:snapToGrid/>
        <w:spacing w:before="260" w:after="260" w:line="415" w:lineRule="auto"/>
        <w:jc w:val="both"/>
        <w:rPr>
          <w:rFonts w:ascii="宋体" w:hAnsi="宋体" w:eastAsia="宋体"/>
          <w:bCs/>
          <w:kern w:val="2"/>
          <w:sz w:val="24"/>
          <w:szCs w:val="24"/>
        </w:rPr>
      </w:pPr>
      <w:r>
        <w:rPr>
          <w:sz w:val="24"/>
          <w:szCs w:val="24"/>
        </w:rPr>
        <w:br w:type="page"/>
      </w:r>
    </w:p>
    <w:p>
      <w:pPr>
        <w:spacing w:after="0" w:line="360" w:lineRule="auto"/>
        <w:ind w:firstLine="482"/>
        <w:jc w:val="both"/>
        <w:rPr>
          <w:rFonts w:ascii="Times New Roman" w:hAnsi="Times New Roman" w:eastAsia="宋体"/>
          <w:b/>
          <w:bCs/>
          <w:sz w:val="24"/>
          <w:szCs w:val="24"/>
        </w:rPr>
      </w:pPr>
      <w:r>
        <w:rPr>
          <w:rFonts w:hint="eastAsia" w:ascii="Times New Roman" w:hAnsi="Times New Roman" w:eastAsia="宋体"/>
          <w:b/>
          <w:bCs/>
          <w:sz w:val="24"/>
          <w:szCs w:val="24"/>
        </w:rPr>
        <w:t>2.1.4关于“环评批复中提出的其他要求”落实情况</w:t>
      </w:r>
    </w:p>
    <w:p>
      <w:pPr>
        <w:pStyle w:val="21"/>
        <w:spacing w:line="360" w:lineRule="auto"/>
      </w:pPr>
      <w:r>
        <w:rPr>
          <w:rFonts w:hint="eastAsia"/>
        </w:rPr>
        <w:t>“环评批复中提出的其它要求”落实情况见表3。</w:t>
      </w:r>
    </w:p>
    <w:p>
      <w:pPr>
        <w:pStyle w:val="24"/>
        <w:adjustRightInd w:val="0"/>
        <w:snapToGrid w:val="0"/>
        <w:spacing w:beforeLines="0" w:line="360" w:lineRule="auto"/>
        <w:rPr>
          <w:kern w:val="0"/>
          <w:sz w:val="24"/>
          <w:szCs w:val="24"/>
        </w:rPr>
      </w:pPr>
      <w:r>
        <w:rPr>
          <w:rFonts w:hint="eastAsia"/>
          <w:kern w:val="0"/>
          <w:sz w:val="24"/>
          <w:szCs w:val="24"/>
        </w:rPr>
        <w:t xml:space="preserve">表3  环评批复中提出的其它要求落实情况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636"/>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tcPr>
          <w:p>
            <w:pPr>
              <w:pStyle w:val="20"/>
              <w:rPr>
                <w:snapToGrid w:val="0"/>
              </w:rPr>
            </w:pPr>
            <w:r>
              <w:rPr>
                <w:rFonts w:hint="eastAsia"/>
                <w:snapToGrid w:val="0"/>
              </w:rPr>
              <w:t>序号</w:t>
            </w:r>
          </w:p>
        </w:tc>
        <w:tc>
          <w:tcPr>
            <w:tcW w:w="2496" w:type="pct"/>
            <w:vAlign w:val="center"/>
          </w:tcPr>
          <w:p>
            <w:pPr>
              <w:pStyle w:val="20"/>
              <w:rPr>
                <w:snapToGrid w:val="0"/>
              </w:rPr>
            </w:pPr>
            <w:r>
              <w:rPr>
                <w:rFonts w:hint="eastAsia"/>
                <w:snapToGrid w:val="0"/>
              </w:rPr>
              <w:t>环评批复中提出要求</w:t>
            </w:r>
          </w:p>
        </w:tc>
        <w:tc>
          <w:tcPr>
            <w:tcW w:w="2025" w:type="pct"/>
            <w:vAlign w:val="center"/>
          </w:tcPr>
          <w:p>
            <w:pPr>
              <w:pStyle w:val="20"/>
              <w:rPr>
                <w:snapToGrid w:val="0"/>
              </w:rPr>
            </w:pPr>
            <w:r>
              <w:rPr>
                <w:rFonts w:hint="eastAsia"/>
                <w:snapToGrid w:val="0"/>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pPr>
              <w:pStyle w:val="20"/>
              <w:rPr>
                <w:rFonts w:hAnsi="Times New Roman"/>
              </w:rPr>
            </w:pPr>
            <w:r>
              <w:rPr>
                <w:rFonts w:hint="eastAsia" w:hAnsi="Times New Roman"/>
              </w:rPr>
              <w:t>1</w:t>
            </w:r>
          </w:p>
        </w:tc>
        <w:tc>
          <w:tcPr>
            <w:tcW w:w="2496" w:type="pct"/>
            <w:vAlign w:val="center"/>
          </w:tcPr>
          <w:p>
            <w:pPr>
              <w:pStyle w:val="20"/>
              <w:jc w:val="both"/>
              <w:rPr>
                <w:rFonts w:ascii="Times New Roman" w:hAnsi="Times New Roman"/>
              </w:rPr>
            </w:pPr>
            <w:r>
              <w:rPr>
                <w:rFonts w:hint="eastAsia" w:ascii="Times New Roman" w:hAnsi="Times New Roman"/>
                <w:lang w:val="en-US" w:eastAsia="zh-CN"/>
              </w:rPr>
              <w:t>环境风险防控。制定突发环境事件应急预案，配备必要的应急设备，并定期演练，切实加强事故应急处理及防范能力。按规定对管线进行腐蚀检测，及时更换腐蚀管段。</w:t>
            </w:r>
          </w:p>
        </w:tc>
        <w:tc>
          <w:tcPr>
            <w:tcW w:w="2025" w:type="pct"/>
            <w:vAlign w:val="center"/>
          </w:tcPr>
          <w:p>
            <w:pPr>
              <w:widowControl w:val="0"/>
              <w:autoSpaceDE w:val="0"/>
              <w:autoSpaceDN w:val="0"/>
              <w:spacing w:after="0"/>
              <w:jc w:val="both"/>
              <w:rPr>
                <w:rFonts w:hint="eastAsia" w:ascii="Times New Roman" w:hAnsi="Times New Roman"/>
                <w:snapToGrid w:val="0"/>
                <w:lang w:val="en-US" w:eastAsia="zh-CN"/>
              </w:rPr>
            </w:pPr>
            <w:r>
              <w:rPr>
                <w:rFonts w:hint="eastAsia" w:ascii="Times New Roman" w:hAnsi="Times New Roman"/>
                <w:snapToGrid w:val="0"/>
                <w:lang w:val="en-US" w:eastAsia="zh-CN"/>
              </w:rPr>
              <w:t>1、河口采油厂分别制定了《中国石油化工股份有限公司胜利油田分公司河口采油厂（利津县）突发环境事件应急预案》，备案编号分别为</w:t>
            </w:r>
            <w:r>
              <w:rPr>
                <w:rFonts w:hint="default" w:ascii="Times New Roman" w:hAnsi="Times New Roman"/>
                <w:snapToGrid w:val="0"/>
                <w:lang w:val="en-US" w:eastAsia="zh-CN"/>
              </w:rPr>
              <w:t>370522-2020-018-M</w:t>
            </w:r>
            <w:r>
              <w:rPr>
                <w:rFonts w:hint="eastAsia" w:ascii="Times New Roman" w:hAnsi="Times New Roman"/>
                <w:snapToGrid w:val="0"/>
                <w:lang w:val="en-US" w:eastAsia="zh-CN"/>
              </w:rPr>
              <w:t>。同时配备了应急设备、应急物资，并定期进行演练。</w:t>
            </w:r>
          </w:p>
          <w:p>
            <w:pPr>
              <w:widowControl w:val="0"/>
              <w:autoSpaceDE w:val="0"/>
              <w:autoSpaceDN w:val="0"/>
              <w:spacing w:after="0"/>
              <w:jc w:val="both"/>
              <w:rPr>
                <w:rFonts w:hint="default" w:ascii="Times New Roman" w:hAnsi="Times New Roman"/>
                <w:snapToGrid w:val="0"/>
                <w:lang w:val="en-US" w:eastAsia="zh-CN"/>
              </w:rPr>
            </w:pPr>
            <w:r>
              <w:rPr>
                <w:rFonts w:hint="eastAsia" w:ascii="Times New Roman" w:hAnsi="Times New Roman"/>
                <w:snapToGrid w:val="0"/>
                <w:lang w:val="en-US" w:eastAsia="zh-CN"/>
              </w:rPr>
              <w:t>2、河口采油厂按照计划对管线进行腐蚀检测，能够及时更换腐蚀管段。</w:t>
            </w:r>
          </w:p>
          <w:p>
            <w:pPr>
              <w:widowControl w:val="0"/>
              <w:autoSpaceDE w:val="0"/>
              <w:autoSpaceDN w:val="0"/>
              <w:spacing w:after="0"/>
              <w:jc w:val="both"/>
              <w:rPr>
                <w:rFonts w:ascii="Times New Roman" w:hAnsi="Times New Roman"/>
                <w:snapToGrid w:val="0"/>
              </w:rPr>
            </w:pPr>
            <w:r>
              <w:rPr>
                <w:rFonts w:hint="eastAsia" w:ascii="Times New Roman" w:hAnsi="Times New Roman"/>
                <w:snapToGrid w:val="0"/>
                <w:lang w:val="en-US" w:eastAsia="zh-CN"/>
              </w:rPr>
              <w:t>3、输油管道未穿越居民区、医院、学校等敏感目标。</w:t>
            </w:r>
          </w:p>
        </w:tc>
      </w:tr>
    </w:tbl>
    <w:p>
      <w:pPr>
        <w:pStyle w:val="21"/>
        <w:rPr>
          <w:snapToGrid w:val="0"/>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3整改工作情况</w:t>
      </w:r>
    </w:p>
    <w:p>
      <w:pPr>
        <w:spacing w:after="0" w:line="360" w:lineRule="auto"/>
        <w:ind w:firstLine="482"/>
        <w:jc w:val="both"/>
        <w:rPr>
          <w:rFonts w:ascii="Times New Roman" w:hAnsi="Times New Roman" w:eastAsia="宋体"/>
          <w:b/>
          <w:bCs/>
          <w:sz w:val="28"/>
          <w:szCs w:val="28"/>
        </w:rPr>
      </w:pPr>
      <w:r>
        <w:rPr>
          <w:rFonts w:hint="eastAsia" w:ascii="Times New Roman" w:hAnsi="Times New Roman" w:eastAsia="宋体"/>
          <w:b/>
          <w:bCs/>
          <w:sz w:val="28"/>
          <w:szCs w:val="28"/>
        </w:rPr>
        <w:t>3.1报告表中提出的原有工程整改情况</w:t>
      </w:r>
    </w:p>
    <w:p>
      <w:pPr>
        <w:pStyle w:val="21"/>
        <w:spacing w:line="360" w:lineRule="auto"/>
      </w:pPr>
      <w:r>
        <w:rPr>
          <w:rFonts w:hint="eastAsia"/>
          <w:snapToGrid w:val="0"/>
        </w:rPr>
        <w:t>本项目为新建项目，不存在原有工程的整改情况</w:t>
      </w:r>
      <w:r>
        <w:rPr>
          <w:rFonts w:hint="eastAsia"/>
        </w:rPr>
        <w:t>。</w:t>
      </w:r>
    </w:p>
    <w:p>
      <w:pPr>
        <w:spacing w:after="0" w:line="360" w:lineRule="auto"/>
        <w:ind w:firstLine="482"/>
        <w:jc w:val="both"/>
        <w:rPr>
          <w:rFonts w:ascii="Times New Roman" w:hAnsi="Times New Roman" w:eastAsia="宋体"/>
          <w:b/>
          <w:bCs/>
          <w:sz w:val="28"/>
          <w:szCs w:val="28"/>
        </w:rPr>
      </w:pPr>
      <w:r>
        <w:rPr>
          <w:rFonts w:hint="eastAsia" w:ascii="Times New Roman" w:hAnsi="Times New Roman" w:eastAsia="宋体"/>
          <w:b/>
          <w:bCs/>
          <w:sz w:val="28"/>
          <w:szCs w:val="28"/>
        </w:rPr>
        <w:t>3.2建设项目竣工环境保护验收意见整改情况</w:t>
      </w:r>
    </w:p>
    <w:p>
      <w:pPr>
        <w:widowControl w:val="0"/>
        <w:spacing w:after="0" w:line="360" w:lineRule="auto"/>
        <w:ind w:firstLine="480" w:firstLineChars="200"/>
        <w:jc w:val="both"/>
        <w:rPr>
          <w:rFonts w:hint="eastAsia" w:ascii="宋体" w:hAnsi="宋体" w:eastAsia="宋体"/>
          <w:bCs/>
          <w:color w:val="000000"/>
          <w:kern w:val="2"/>
          <w:sz w:val="24"/>
          <w:szCs w:val="24"/>
          <w:lang w:val="en-US" w:eastAsia="zh-CN"/>
        </w:rPr>
      </w:pPr>
      <w:r>
        <w:rPr>
          <w:rFonts w:hint="eastAsia" w:ascii="宋体" w:hAnsi="宋体" w:eastAsia="宋体"/>
          <w:bCs/>
          <w:color w:val="000000"/>
          <w:kern w:val="2"/>
          <w:sz w:val="24"/>
          <w:szCs w:val="24"/>
          <w:lang w:val="en-US" w:eastAsia="zh-CN"/>
        </w:rPr>
        <w:t>专家意见：1.</w:t>
      </w:r>
      <w:r>
        <w:rPr>
          <w:rFonts w:hint="eastAsia" w:ascii="宋体" w:hAnsi="宋体" w:eastAsia="宋体"/>
          <w:bCs/>
          <w:color w:val="000000"/>
          <w:kern w:val="2"/>
          <w:sz w:val="24"/>
          <w:szCs w:val="24"/>
        </w:rPr>
        <w:t>完善管线施工期污染物处置的调查</w:t>
      </w:r>
      <w:r>
        <w:rPr>
          <w:rFonts w:hint="eastAsia" w:ascii="宋体" w:hAnsi="宋体" w:eastAsia="宋体"/>
          <w:bCs/>
          <w:color w:val="000000"/>
          <w:kern w:val="2"/>
          <w:sz w:val="24"/>
          <w:szCs w:val="24"/>
          <w:lang w:val="en-US" w:eastAsia="zh-CN"/>
        </w:rPr>
        <w:t>。</w:t>
      </w:r>
    </w:p>
    <w:p>
      <w:pPr>
        <w:widowControl w:val="0"/>
        <w:spacing w:after="0" w:line="360" w:lineRule="auto"/>
        <w:ind w:firstLine="480" w:firstLineChars="200"/>
        <w:jc w:val="both"/>
        <w:rPr>
          <w:rFonts w:hint="eastAsia" w:ascii="宋体" w:hAnsi="宋体" w:eastAsia="宋体"/>
          <w:bCs/>
          <w:color w:val="000000"/>
          <w:kern w:val="2"/>
          <w:sz w:val="24"/>
          <w:szCs w:val="24"/>
          <w:lang w:val="en-US" w:eastAsia="zh-CN"/>
        </w:rPr>
      </w:pPr>
      <w:r>
        <w:rPr>
          <w:rFonts w:hint="eastAsia" w:ascii="宋体" w:hAnsi="宋体" w:eastAsia="宋体"/>
          <w:bCs/>
          <w:color w:val="000000"/>
          <w:kern w:val="2"/>
          <w:sz w:val="24"/>
          <w:szCs w:val="24"/>
          <w:lang w:val="en-US" w:eastAsia="zh-CN"/>
        </w:rPr>
        <w:t>整改说明：</w:t>
      </w:r>
      <w:bookmarkStart w:id="0" w:name="_GoBack"/>
      <w:bookmarkEnd w:id="0"/>
      <w:r>
        <w:rPr>
          <w:rFonts w:hint="eastAsia" w:ascii="宋体" w:hAnsi="宋体" w:eastAsia="宋体"/>
          <w:bCs/>
          <w:color w:val="000000"/>
          <w:kern w:val="2"/>
          <w:sz w:val="24"/>
          <w:szCs w:val="24"/>
          <w:lang w:val="en-US" w:eastAsia="zh-CN"/>
        </w:rPr>
        <w:t>完善增加了施工期固体废物的处置措施，补充了定向钻泥浆的处置措施，见报告4.3.4节。</w:t>
      </w:r>
    </w:p>
    <w:p>
      <w:pPr>
        <w:widowControl w:val="0"/>
        <w:spacing w:after="0" w:line="360" w:lineRule="auto"/>
        <w:ind w:firstLine="480" w:firstLineChars="200"/>
        <w:jc w:val="both"/>
        <w:rPr>
          <w:rFonts w:hint="eastAsia" w:ascii="宋体" w:hAnsi="宋体" w:eastAsia="宋体"/>
          <w:bCs/>
          <w:color w:val="000000"/>
          <w:kern w:val="2"/>
          <w:sz w:val="24"/>
          <w:szCs w:val="24"/>
          <w:lang w:eastAsia="zh-CN"/>
        </w:rPr>
      </w:pPr>
      <w:r>
        <w:rPr>
          <w:rFonts w:hint="eastAsia" w:ascii="宋体" w:hAnsi="宋体" w:eastAsia="宋体"/>
          <w:bCs/>
          <w:color w:val="000000"/>
          <w:kern w:val="2"/>
          <w:sz w:val="24"/>
          <w:szCs w:val="24"/>
          <w:lang w:val="en-US" w:eastAsia="zh-CN"/>
        </w:rPr>
        <w:t>专家意见：2.</w:t>
      </w:r>
      <w:r>
        <w:rPr>
          <w:rFonts w:hint="eastAsia" w:ascii="宋体" w:hAnsi="宋体" w:eastAsia="宋体"/>
          <w:bCs/>
          <w:color w:val="000000"/>
          <w:kern w:val="2"/>
          <w:sz w:val="24"/>
          <w:szCs w:val="24"/>
        </w:rPr>
        <w:t>完善老旧管线的处置方式的调查</w:t>
      </w:r>
      <w:r>
        <w:rPr>
          <w:rFonts w:hint="eastAsia" w:ascii="宋体" w:hAnsi="宋体" w:eastAsia="宋体"/>
          <w:bCs/>
          <w:color w:val="000000"/>
          <w:kern w:val="2"/>
          <w:sz w:val="24"/>
          <w:szCs w:val="24"/>
          <w:lang w:eastAsia="zh-CN"/>
        </w:rPr>
        <w:t>。</w:t>
      </w:r>
    </w:p>
    <w:p>
      <w:pPr>
        <w:widowControl w:val="0"/>
        <w:spacing w:after="0" w:line="360" w:lineRule="auto"/>
        <w:ind w:firstLine="480" w:firstLineChars="200"/>
        <w:jc w:val="both"/>
        <w:rPr>
          <w:rFonts w:hint="default" w:ascii="宋体" w:hAnsi="宋体" w:eastAsia="宋体"/>
          <w:bCs/>
          <w:color w:val="000000"/>
          <w:kern w:val="2"/>
          <w:sz w:val="24"/>
          <w:szCs w:val="24"/>
          <w:lang w:val="en-US" w:eastAsia="zh-CN"/>
        </w:rPr>
      </w:pPr>
      <w:r>
        <w:rPr>
          <w:rFonts w:hint="eastAsia" w:ascii="宋体" w:hAnsi="宋体" w:eastAsia="宋体"/>
          <w:bCs/>
          <w:color w:val="000000"/>
          <w:kern w:val="2"/>
          <w:sz w:val="24"/>
          <w:szCs w:val="24"/>
          <w:lang w:val="en-US" w:eastAsia="zh-CN"/>
        </w:rPr>
        <w:t>整改说明：完善补充了老旧管线的处置措施调查，见报告2.3节。</w:t>
      </w:r>
    </w:p>
    <w:p>
      <w:pPr>
        <w:widowControl w:val="0"/>
        <w:spacing w:after="0" w:line="360" w:lineRule="auto"/>
        <w:ind w:firstLine="480" w:firstLineChars="200"/>
        <w:jc w:val="both"/>
        <w:rPr>
          <w:rFonts w:ascii="宋体" w:hAnsi="宋体" w:eastAsia="宋体"/>
          <w:bCs/>
          <w:color w:val="000000"/>
          <w:kern w:val="2"/>
          <w:sz w:val="24"/>
          <w:szCs w:val="24"/>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w:pict>
        <v:shape id="文本框 2"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0D5"/>
    <w:multiLevelType w:val="multilevel"/>
    <w:tmpl w:val="131710D5"/>
    <w:lvl w:ilvl="0" w:tentative="0">
      <w:start w:val="17"/>
      <w:numFmt w:val="decimal"/>
      <w:isLgl/>
      <w:lvlText w:val="%1"/>
      <w:lvlJc w:val="left"/>
      <w:pPr>
        <w:tabs>
          <w:tab w:val="left" w:pos="567"/>
        </w:tabs>
        <w:ind w:left="567" w:hanging="567"/>
      </w:pPr>
      <w:rPr>
        <w:rFonts w:hint="eastAsia" w:ascii="宋体" w:eastAsia="宋体"/>
        <w:b w:val="0"/>
        <w:i w:val="0"/>
        <w:sz w:val="24"/>
      </w:rPr>
    </w:lvl>
    <w:lvl w:ilvl="1" w:tentative="0">
      <w:start w:val="1"/>
      <w:numFmt w:val="decimal"/>
      <w:lvlRestart w:val="0"/>
      <w:pStyle w:val="13"/>
      <w:isLgl/>
      <w:lvlText w:val="17.%2"/>
      <w:lvlJc w:val="left"/>
      <w:pPr>
        <w:tabs>
          <w:tab w:val="left" w:pos="1985"/>
        </w:tabs>
        <w:ind w:left="1985" w:hanging="1985"/>
      </w:pPr>
      <w:rPr>
        <w:rFonts w:hint="eastAsia" w:ascii="宋体" w:eastAsia="宋体"/>
        <w:b/>
        <w:i w:val="0"/>
        <w:spacing w:val="0"/>
        <w:sz w:val="32"/>
        <w:szCs w:val="32"/>
      </w:rPr>
    </w:lvl>
    <w:lvl w:ilvl="2" w:tentative="0">
      <w:start w:val="1"/>
      <w:numFmt w:val="decimal"/>
      <w:lvlRestart w:val="0"/>
      <w:isLgl/>
      <w:lvlText w:val="%1.%2.%3"/>
      <w:lvlJc w:val="left"/>
      <w:pPr>
        <w:tabs>
          <w:tab w:val="left" w:pos="720"/>
        </w:tabs>
        <w:ind w:left="567" w:hanging="567"/>
      </w:pPr>
      <w:rPr>
        <w:rFonts w:hint="eastAsia" w:ascii="宋体" w:eastAsia="宋体"/>
        <w:b/>
        <w:i w:val="0"/>
        <w:sz w:val="24"/>
      </w:rPr>
    </w:lvl>
    <w:lvl w:ilvl="3" w:tentative="0">
      <w:start w:val="1"/>
      <w:numFmt w:val="decimal"/>
      <w:lvlText w:val="%1.%2.%3.%4"/>
      <w:lvlJc w:val="left"/>
      <w:pPr>
        <w:tabs>
          <w:tab w:val="left" w:pos="144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64B4"/>
    <w:rsid w:val="000109AF"/>
    <w:rsid w:val="00016D39"/>
    <w:rsid w:val="00064996"/>
    <w:rsid w:val="00096C84"/>
    <w:rsid w:val="000B6127"/>
    <w:rsid w:val="0011516E"/>
    <w:rsid w:val="00117263"/>
    <w:rsid w:val="00117AC7"/>
    <w:rsid w:val="00124BDB"/>
    <w:rsid w:val="00176C62"/>
    <w:rsid w:val="00182E20"/>
    <w:rsid w:val="001A46B5"/>
    <w:rsid w:val="001A61F0"/>
    <w:rsid w:val="001F2FD9"/>
    <w:rsid w:val="001F5C49"/>
    <w:rsid w:val="00291B66"/>
    <w:rsid w:val="002E64CF"/>
    <w:rsid w:val="002F351C"/>
    <w:rsid w:val="002F51F6"/>
    <w:rsid w:val="00322BC6"/>
    <w:rsid w:val="00382447"/>
    <w:rsid w:val="003946FB"/>
    <w:rsid w:val="003D5486"/>
    <w:rsid w:val="003E2EC8"/>
    <w:rsid w:val="003E7501"/>
    <w:rsid w:val="00421518"/>
    <w:rsid w:val="00425BE3"/>
    <w:rsid w:val="0045125B"/>
    <w:rsid w:val="004B54D6"/>
    <w:rsid w:val="00514DD1"/>
    <w:rsid w:val="00554EAB"/>
    <w:rsid w:val="00590BFD"/>
    <w:rsid w:val="005D40E3"/>
    <w:rsid w:val="00653403"/>
    <w:rsid w:val="00683036"/>
    <w:rsid w:val="006F5AE9"/>
    <w:rsid w:val="00713C95"/>
    <w:rsid w:val="007A011F"/>
    <w:rsid w:val="007B046D"/>
    <w:rsid w:val="007C40E8"/>
    <w:rsid w:val="007E69CF"/>
    <w:rsid w:val="007F2778"/>
    <w:rsid w:val="00842A03"/>
    <w:rsid w:val="00853DB5"/>
    <w:rsid w:val="00873568"/>
    <w:rsid w:val="008770C6"/>
    <w:rsid w:val="0088545B"/>
    <w:rsid w:val="008B7D91"/>
    <w:rsid w:val="008D3C33"/>
    <w:rsid w:val="008E608E"/>
    <w:rsid w:val="008F0127"/>
    <w:rsid w:val="00931393"/>
    <w:rsid w:val="009355E6"/>
    <w:rsid w:val="00940DA1"/>
    <w:rsid w:val="00942455"/>
    <w:rsid w:val="00945501"/>
    <w:rsid w:val="009742A9"/>
    <w:rsid w:val="00976A8A"/>
    <w:rsid w:val="009A0385"/>
    <w:rsid w:val="009B7044"/>
    <w:rsid w:val="009E2591"/>
    <w:rsid w:val="00A76A53"/>
    <w:rsid w:val="00AD6457"/>
    <w:rsid w:val="00AF10AC"/>
    <w:rsid w:val="00AF6658"/>
    <w:rsid w:val="00B90E8C"/>
    <w:rsid w:val="00BE3360"/>
    <w:rsid w:val="00BF7DC5"/>
    <w:rsid w:val="00C3359F"/>
    <w:rsid w:val="00C4077A"/>
    <w:rsid w:val="00C65451"/>
    <w:rsid w:val="00C925E0"/>
    <w:rsid w:val="00CD1E22"/>
    <w:rsid w:val="00CE7B0B"/>
    <w:rsid w:val="00CF50B8"/>
    <w:rsid w:val="00CF7E43"/>
    <w:rsid w:val="00D364B4"/>
    <w:rsid w:val="00D72DEF"/>
    <w:rsid w:val="00DB58A0"/>
    <w:rsid w:val="00DC774B"/>
    <w:rsid w:val="00DF043E"/>
    <w:rsid w:val="00E05406"/>
    <w:rsid w:val="00E45DCE"/>
    <w:rsid w:val="00E64B26"/>
    <w:rsid w:val="00E75CE5"/>
    <w:rsid w:val="00E95094"/>
    <w:rsid w:val="00EA140E"/>
    <w:rsid w:val="00F122F0"/>
    <w:rsid w:val="00F26AE1"/>
    <w:rsid w:val="00F55E7A"/>
    <w:rsid w:val="00F6125B"/>
    <w:rsid w:val="00F72402"/>
    <w:rsid w:val="00FA32CC"/>
    <w:rsid w:val="00FE4ABB"/>
    <w:rsid w:val="01D827CB"/>
    <w:rsid w:val="03FA0A9B"/>
    <w:rsid w:val="5050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3">
    <w:name w:val="heading 1"/>
    <w:basedOn w:val="1"/>
    <w:next w:val="1"/>
    <w:qFormat/>
    <w:uiPriority w:val="9"/>
    <w:pPr>
      <w:keepNext/>
      <w:keepLines/>
      <w:widowControl w:val="0"/>
      <w:spacing w:line="360" w:lineRule="auto"/>
      <w:jc w:val="both"/>
      <w:outlineLvl w:val="0"/>
    </w:pPr>
    <w:rPr>
      <w:rFonts w:ascii="Times New Roman" w:hAnsi="Times New Roman" w:eastAsia="宋体" w:cs="Times New Roman"/>
      <w:b/>
      <w:kern w:val="44"/>
      <w:sz w:val="28"/>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rFonts w:eastAsia="宋体"/>
      <w:kern w:val="2"/>
      <w:sz w:val="21"/>
    </w:rPr>
  </w:style>
  <w:style w:type="paragraph" w:styleId="5">
    <w:name w:val="Document Map"/>
    <w:basedOn w:val="1"/>
    <w:link w:val="19"/>
    <w:semiHidden/>
    <w:unhideWhenUsed/>
    <w:uiPriority w:val="99"/>
    <w:rPr>
      <w:rFonts w:ascii="宋体" w:eastAsia="宋体"/>
      <w:sz w:val="18"/>
      <w:szCs w:val="18"/>
    </w:rPr>
  </w:style>
  <w:style w:type="paragraph" w:styleId="6">
    <w:name w:val="annotation text"/>
    <w:basedOn w:val="1"/>
    <w:link w:val="23"/>
    <w:qFormat/>
    <w:uiPriority w:val="0"/>
    <w:pPr>
      <w:tabs>
        <w:tab w:val="left" w:pos="377"/>
      </w:tabs>
      <w:adjustRightInd/>
      <w:snapToGrid/>
      <w:spacing w:after="0" w:line="360" w:lineRule="auto"/>
    </w:pPr>
    <w:rPr>
      <w:rFonts w:ascii="宋体" w:hAnsi="Times New Roman" w:eastAsia="宋体"/>
      <w:sz w:val="24"/>
      <w:szCs w:val="24"/>
    </w:rPr>
  </w:style>
  <w:style w:type="paragraph" w:styleId="7">
    <w:name w:val="Body Text Indent"/>
    <w:basedOn w:val="1"/>
    <w:next w:val="8"/>
    <w:qFormat/>
    <w:uiPriority w:val="0"/>
    <w:pPr>
      <w:spacing w:after="120"/>
      <w:ind w:left="420" w:leftChars="200"/>
    </w:pPr>
  </w:style>
  <w:style w:type="paragraph" w:customStyle="1" w:styleId="8">
    <w:name w:val="样式 标题 1一级标题 + 段前: 0.5 行 段后: 0.5 行"/>
    <w:basedOn w:val="3"/>
    <w:qFormat/>
    <w:uiPriority w:val="99"/>
    <w:pPr>
      <w:snapToGrid w:val="0"/>
      <w:spacing w:before="0" w:after="0" w:line="320" w:lineRule="exact"/>
      <w:jc w:val="center"/>
      <w:outlineLvl w:val="9"/>
    </w:pPr>
    <w:rPr>
      <w:spacing w:val="-6"/>
      <w:kern w:val="0"/>
      <w:sz w:val="21"/>
      <w:szCs w:val="21"/>
    </w:rPr>
  </w:style>
  <w:style w:type="paragraph" w:styleId="9">
    <w:name w:val="Balloon Text"/>
    <w:basedOn w:val="1"/>
    <w:link w:val="35"/>
    <w:semiHidden/>
    <w:unhideWhenUsed/>
    <w:uiPriority w:val="99"/>
    <w:pPr>
      <w:spacing w:after="0"/>
    </w:pPr>
    <w:rPr>
      <w:sz w:val="18"/>
      <w:szCs w:val="18"/>
    </w:rPr>
  </w:style>
  <w:style w:type="paragraph" w:styleId="10">
    <w:name w:val="footer"/>
    <w:basedOn w:val="1"/>
    <w:link w:val="18"/>
    <w:uiPriority w:val="0"/>
    <w:pPr>
      <w:tabs>
        <w:tab w:val="center" w:pos="4153"/>
        <w:tab w:val="right" w:pos="8306"/>
      </w:tabs>
    </w:pPr>
    <w:rPr>
      <w:sz w:val="18"/>
    </w:rPr>
  </w:style>
  <w:style w:type="paragraph" w:styleId="11">
    <w:name w:val="header"/>
    <w:basedOn w:val="1"/>
    <w:link w:val="36"/>
    <w:unhideWhenUsed/>
    <w:uiPriority w:val="99"/>
    <w:pPr>
      <w:pBdr>
        <w:bottom w:val="single" w:color="auto" w:sz="6" w:space="1"/>
      </w:pBdr>
      <w:tabs>
        <w:tab w:val="center" w:pos="4153"/>
        <w:tab w:val="right" w:pos="8306"/>
      </w:tabs>
      <w:jc w:val="center"/>
    </w:pPr>
    <w:rPr>
      <w:sz w:val="18"/>
      <w:szCs w:val="18"/>
    </w:rPr>
  </w:style>
  <w:style w:type="paragraph" w:styleId="12">
    <w:name w:val="Body Text First Indent 2"/>
    <w:basedOn w:val="7"/>
    <w:next w:val="13"/>
    <w:qFormat/>
    <w:uiPriority w:val="0"/>
    <w:pPr>
      <w:spacing w:line="240" w:lineRule="auto"/>
      <w:ind w:firstLine="420"/>
    </w:pPr>
    <w:rPr>
      <w:rFonts w:ascii="Calibri" w:hAnsi="Calibri"/>
      <w:sz w:val="21"/>
    </w:rPr>
  </w:style>
  <w:style w:type="paragraph" w:customStyle="1" w:styleId="13">
    <w:name w:val="正文格式"/>
    <w:basedOn w:val="1"/>
    <w:qFormat/>
    <w:uiPriority w:val="0"/>
    <w:pPr>
      <w:numPr>
        <w:ilvl w:val="1"/>
        <w:numId w:val="1"/>
      </w:numPr>
      <w:spacing w:line="360" w:lineRule="auto"/>
    </w:pPr>
    <w:rPr>
      <w:rFonts w:ascii="Calibri" w:hAnsi="Calibri"/>
      <w:kern w:val="2"/>
      <w:sz w:val="21"/>
      <w:szCs w:val="22"/>
      <w:lang w:val="zh-CN"/>
    </w:rPr>
  </w:style>
  <w:style w:type="table" w:styleId="15">
    <w:name w:val="Table Grid"/>
    <w:basedOn w:val="14"/>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style21"/>
    <w:basedOn w:val="16"/>
    <w:qFormat/>
    <w:uiPriority w:val="0"/>
    <w:rPr>
      <w:rFonts w:ascii="TimesNewRomanPSMT" w:hAnsi="TimesNewRomanPSMT" w:eastAsia="TimesNewRomanPSMT" w:cs="TimesNewRomanPSMT"/>
      <w:color w:val="000000"/>
      <w:sz w:val="24"/>
      <w:szCs w:val="24"/>
    </w:rPr>
  </w:style>
  <w:style w:type="character" w:customStyle="1" w:styleId="18">
    <w:name w:val="页脚 字符"/>
    <w:basedOn w:val="16"/>
    <w:link w:val="10"/>
    <w:uiPriority w:val="0"/>
    <w:rPr>
      <w:rFonts w:ascii="Tahoma" w:hAnsi="Tahoma" w:eastAsia="微软雅黑" w:cs="Times New Roman"/>
      <w:kern w:val="0"/>
      <w:sz w:val="18"/>
    </w:rPr>
  </w:style>
  <w:style w:type="character" w:customStyle="1" w:styleId="19">
    <w:name w:val="文档结构图 字符"/>
    <w:basedOn w:val="16"/>
    <w:link w:val="5"/>
    <w:semiHidden/>
    <w:qFormat/>
    <w:uiPriority w:val="99"/>
    <w:rPr>
      <w:rFonts w:ascii="宋体" w:hAnsi="Tahoma" w:eastAsia="宋体" w:cs="Times New Roman"/>
      <w:kern w:val="0"/>
      <w:sz w:val="18"/>
      <w:szCs w:val="18"/>
    </w:rPr>
  </w:style>
  <w:style w:type="paragraph" w:customStyle="1" w:styleId="20">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1">
    <w:name w:val="lm正文"/>
    <w:basedOn w:val="1"/>
    <w:link w:val="22"/>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2">
    <w:name w:val="lm正文 Char"/>
    <w:link w:val="21"/>
    <w:uiPriority w:val="0"/>
    <w:rPr>
      <w:rFonts w:ascii="宋体" w:hAnsi="宋体" w:eastAsia="宋体" w:cs="Times New Roman"/>
      <w:kern w:val="0"/>
      <w:sz w:val="24"/>
      <w:szCs w:val="24"/>
    </w:rPr>
  </w:style>
  <w:style w:type="character" w:customStyle="1" w:styleId="23">
    <w:name w:val="批注文字 字符"/>
    <w:basedOn w:val="16"/>
    <w:link w:val="6"/>
    <w:qFormat/>
    <w:uiPriority w:val="0"/>
    <w:rPr>
      <w:rFonts w:ascii="宋体" w:hAnsi="Times New Roman" w:eastAsia="宋体" w:cs="Times New Roman"/>
      <w:kern w:val="0"/>
      <w:sz w:val="24"/>
      <w:szCs w:val="24"/>
    </w:rPr>
  </w:style>
  <w:style w:type="paragraph" w:customStyle="1" w:styleId="24">
    <w:name w:val="lm表头"/>
    <w:basedOn w:val="1"/>
    <w:link w:val="25"/>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5">
    <w:name w:val="lm表头 Char"/>
    <w:link w:val="24"/>
    <w:qFormat/>
    <w:uiPriority w:val="0"/>
    <w:rPr>
      <w:rFonts w:ascii="宋体" w:hAnsi="宋体" w:eastAsia="宋体" w:cs="Times New Roman"/>
      <w:bCs/>
      <w:szCs w:val="21"/>
    </w:rPr>
  </w:style>
  <w:style w:type="paragraph" w:customStyle="1" w:styleId="26">
    <w:name w:val="样式 正文 首行缩进:  2 字符 SL CON + 首行缩进:  2 字符 + 首行缩进:  2 字符 + 首行缩..."/>
    <w:basedOn w:val="1"/>
    <w:link w:val="31"/>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7">
    <w:name w:val="样式 正文 首行缩进:  2 字符 SL CON + 首行缩进:  2 字符"/>
    <w:basedOn w:val="1"/>
    <w:link w:val="28"/>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8">
    <w:name w:val="样式 正文 首行缩进:  2 字符 SL CON + 首行缩进:  2 字符 Char"/>
    <w:link w:val="27"/>
    <w:qFormat/>
    <w:uiPriority w:val="0"/>
    <w:rPr>
      <w:rFonts w:ascii="宋体" w:hAnsi="Times New Roman" w:eastAsia="宋体" w:cs="Times New Roman"/>
      <w:kern w:val="0"/>
      <w:sz w:val="28"/>
      <w:szCs w:val="20"/>
    </w:rPr>
  </w:style>
  <w:style w:type="paragraph" w:customStyle="1" w:styleId="29">
    <w:name w:val="样式 表（或图）标题"/>
    <w:basedOn w:val="1"/>
    <w:link w:val="30"/>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30">
    <w:name w:val="样式 表（或图）标题 Char"/>
    <w:link w:val="29"/>
    <w:qFormat/>
    <w:uiPriority w:val="0"/>
    <w:rPr>
      <w:rFonts w:ascii="宋体" w:hAnsi="宋体" w:eastAsia="宋体" w:cs="Times New Roman"/>
      <w:b/>
      <w:kern w:val="0"/>
      <w:szCs w:val="20"/>
    </w:rPr>
  </w:style>
  <w:style w:type="character" w:customStyle="1" w:styleId="31">
    <w:name w:val="样式 正文 首行缩进:  2 字符 SL CON + 首行缩进:  2 字符 + 首行缩进:  2 字符 + 首行缩... Char"/>
    <w:link w:val="26"/>
    <w:uiPriority w:val="0"/>
    <w:rPr>
      <w:rFonts w:ascii="宋体" w:hAnsi="宋体" w:eastAsia="宋体" w:cs="Times New Roman"/>
      <w:kern w:val="0"/>
      <w:sz w:val="28"/>
      <w:szCs w:val="20"/>
    </w:rPr>
  </w:style>
  <w:style w:type="paragraph" w:customStyle="1" w:styleId="32">
    <w:name w:val="lm图例"/>
    <w:basedOn w:val="1"/>
    <w:link w:val="33"/>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3">
    <w:name w:val="lm图例 Char"/>
    <w:link w:val="32"/>
    <w:qFormat/>
    <w:uiPriority w:val="0"/>
    <w:rPr>
      <w:rFonts w:ascii="宋体" w:hAnsi="宋体" w:eastAsia="宋体" w:cs="Times New Roman"/>
    </w:rPr>
  </w:style>
  <w:style w:type="paragraph" w:customStyle="1" w:styleId="34">
    <w:name w:val="第四章图件"/>
    <w:basedOn w:val="4"/>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5">
    <w:name w:val="批注框文本 字符"/>
    <w:basedOn w:val="16"/>
    <w:link w:val="9"/>
    <w:semiHidden/>
    <w:qFormat/>
    <w:uiPriority w:val="99"/>
    <w:rPr>
      <w:rFonts w:ascii="Tahoma" w:hAnsi="Tahoma" w:eastAsia="微软雅黑" w:cs="Times New Roman"/>
      <w:kern w:val="0"/>
      <w:sz w:val="18"/>
      <w:szCs w:val="18"/>
    </w:rPr>
  </w:style>
  <w:style w:type="character" w:customStyle="1" w:styleId="36">
    <w:name w:val="页眉 字符"/>
    <w:basedOn w:val="16"/>
    <w:link w:val="11"/>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EA98901-41A1-4DDA-96EB-531FF04D063B}"/>
</file>

<file path=customXml/itemProps3.xml><?xml version="1.0" encoding="utf-8"?>
<ds:datastoreItem xmlns:ds="http://schemas.openxmlformats.org/officeDocument/2006/customXml" ds:itemID="{766E4848-6E50-4A5A-AAD3-4BE4C25E4644}"/>
</file>

<file path=customXml/itemProps4.xml><?xml version="1.0" encoding="utf-8"?>
<ds:datastoreItem xmlns:ds="http://schemas.openxmlformats.org/officeDocument/2006/customXml" ds:itemID="{B686AB2F-D057-493D-AE45-C22D3053BBF6}"/>
</file>

<file path=customXml/itemProps5.xml><?xml version="1.0" encoding="utf-8"?>
<ds:datastoreItem xmlns:ds="http://schemas.openxmlformats.org/officeDocument/2006/customXml" ds:itemID="{64943EBC-E0FE-4F3D-80E2-C3B9AE953724}"/>
</file>

<file path=docProps/app.xml><?xml version="1.0" encoding="utf-8"?>
<Properties xmlns="http://schemas.openxmlformats.org/officeDocument/2006/extended-properties" xmlns:vt="http://schemas.openxmlformats.org/officeDocument/2006/docPropsVTypes">
  <Template>Normal</Template>
  <Company>Microsoft</Company>
  <Pages>3</Pages>
  <Words>279</Words>
  <Characters>1591</Characters>
  <Lines>13</Lines>
  <Paragraphs>3</Paragraphs>
  <TotalTime>0</TotalTime>
  <ScaleCrop>false</ScaleCrop>
  <LinksUpToDate>false</LinksUpToDate>
  <CharactersWithSpaces>1867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123</cp:lastModifiedBy>
  <cp:revision>68</cp:revision>
  <dcterms:created xsi:type="dcterms:W3CDTF">2019-02-25T11:20:00Z</dcterms:created>
  <dcterms:modified xsi:type="dcterms:W3CDTF">2020-12-24T07:57:50Z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ContentTypeId">
    <vt:lpwstr>0x010100313989E510CC474A862876A387D6F14A</vt:lpwstr>
  </property>
</Properties>
</file>