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482"/>
        <w:jc w:val="both"/>
        <w:rPr>
          <w:rFonts w:ascii="Times New Roman" w:hAnsi="Times New Roman" w:eastAsia="宋体"/>
          <w:sz w:val="28"/>
          <w:szCs w:val="28"/>
        </w:rPr>
      </w:pPr>
      <w:r>
        <w:rPr>
          <w:rFonts w:hint="eastAsia" w:ascii="Times New Roman" w:hAnsi="Times New Roman" w:eastAsia="宋体"/>
          <w:b/>
          <w:bCs/>
          <w:sz w:val="28"/>
          <w:szCs w:val="28"/>
        </w:rPr>
        <w:t>1.1设计、施工简况</w:t>
      </w:r>
    </w:p>
    <w:p>
      <w:pPr>
        <w:pStyle w:val="26"/>
        <w:adjustRightInd w:val="0"/>
        <w:snapToGrid w:val="0"/>
        <w:ind w:firstLine="482" w:firstLineChars="0"/>
        <w:jc w:val="both"/>
        <w:rPr>
          <w:sz w:val="24"/>
          <w:szCs w:val="24"/>
        </w:rPr>
      </w:pPr>
      <w:r>
        <w:rPr>
          <w:rFonts w:hint="eastAsia"/>
          <w:sz w:val="24"/>
          <w:szCs w:val="24"/>
        </w:rPr>
        <w:t>（1）污水处理依托设施</w:t>
      </w:r>
    </w:p>
    <w:p>
      <w:pPr>
        <w:pStyle w:val="21"/>
        <w:spacing w:line="360" w:lineRule="auto"/>
        <w:ind w:firstLine="482" w:firstLineChars="0"/>
        <w:rPr>
          <w:rFonts w:hint="eastAsia"/>
        </w:rPr>
      </w:pPr>
      <w:r>
        <w:rPr>
          <w:rFonts w:hint="eastAsia"/>
        </w:rPr>
        <w:t>项目油井施工期水污染物主要包括钻井废水、</w:t>
      </w:r>
      <w:r>
        <w:rPr>
          <w:rFonts w:hint="eastAsia"/>
          <w:lang w:val="en-US" w:eastAsia="zh-CN"/>
        </w:rPr>
        <w:t>施工作业废液</w:t>
      </w:r>
      <w:r>
        <w:rPr>
          <w:rFonts w:hint="eastAsia"/>
        </w:rPr>
        <w:t>管道试压废水和少量的生活污水。钻井废水</w:t>
      </w:r>
      <w:r>
        <w:rPr>
          <w:rFonts w:hint="eastAsia"/>
          <w:lang w:eastAsia="zh-CN"/>
        </w:rPr>
        <w:t>、</w:t>
      </w:r>
      <w:r>
        <w:rPr>
          <w:rFonts w:hint="eastAsia"/>
          <w:lang w:val="en-US" w:eastAsia="zh-CN"/>
        </w:rPr>
        <w:t>施工作业废液拉至王岗废液处理站，处理后进入王岗联合站污水处理系统处理达标后回注地层，用于油田注水开发</w:t>
      </w:r>
      <w:r>
        <w:rPr>
          <w:rFonts w:hint="eastAsia"/>
        </w:rPr>
        <w:t>；管道试压废水收集后由罐车拉运至史南联合站处理，不外排</w:t>
      </w:r>
      <w:r>
        <w:rPr>
          <w:rFonts w:hint="eastAsia"/>
          <w:lang w:val="en-US" w:eastAsia="zh-CN"/>
        </w:rPr>
        <w:t>；</w:t>
      </w:r>
      <w:r>
        <w:rPr>
          <w:rFonts w:hint="eastAsia"/>
        </w:rPr>
        <w:t>生活污水依托施工现场设置的临时旱厕，定期清掏，用作农肥，</w:t>
      </w:r>
      <w:r>
        <w:rPr>
          <w:rFonts w:hint="eastAsia"/>
          <w:lang w:val="en-US" w:eastAsia="zh-CN"/>
        </w:rPr>
        <w:t>不</w:t>
      </w:r>
      <w:r>
        <w:rPr>
          <w:rFonts w:hint="eastAsia"/>
        </w:rPr>
        <w:t>外排。运营期水污染物主要包括井下作业废液、采</w:t>
      </w:r>
      <w:r>
        <w:rPr>
          <w:rFonts w:hint="eastAsia"/>
          <w:lang w:val="en-US" w:eastAsia="zh-CN"/>
        </w:rPr>
        <w:t>出液</w:t>
      </w:r>
      <w:r>
        <w:rPr>
          <w:rFonts w:hint="eastAsia"/>
        </w:rPr>
        <w:t>。至验收期间，本项目没有进行井下作业，未产生井下作业废液，后期产生的井下作业废液</w:t>
      </w:r>
      <w:r>
        <w:rPr>
          <w:rFonts w:hint="eastAsia"/>
          <w:lang w:val="en-US" w:eastAsia="zh-CN"/>
        </w:rPr>
        <w:t>由</w:t>
      </w:r>
      <w:r>
        <w:rPr>
          <w:rFonts w:hint="eastAsia"/>
        </w:rPr>
        <w:t>罐车拉运至史南联合站，经站内污水处理系统处理达标后回注地层，用于油田注水开发，不外排；采</w:t>
      </w:r>
      <w:r>
        <w:rPr>
          <w:rFonts w:hint="eastAsia"/>
          <w:lang w:val="en-US" w:eastAsia="zh-CN"/>
        </w:rPr>
        <w:t>出液拉运至史南联合站进行油气水三相分离，分离出的采油污水处理达标后回注地层</w:t>
      </w:r>
      <w:r>
        <w:rPr>
          <w:rFonts w:hint="eastAsia"/>
        </w:rPr>
        <w:t>。因此，项目未对地表水环境产生不利影响。</w:t>
      </w:r>
    </w:p>
    <w:p>
      <w:pPr>
        <w:pStyle w:val="26"/>
        <w:widowControl w:val="0"/>
        <w:adjustRightInd w:val="0"/>
        <w:snapToGrid w:val="0"/>
        <w:ind w:firstLine="482" w:firstLineChars="0"/>
        <w:jc w:val="both"/>
        <w:rPr>
          <w:sz w:val="24"/>
          <w:szCs w:val="24"/>
        </w:rPr>
      </w:pPr>
      <w:r>
        <w:rPr>
          <w:rFonts w:hint="eastAsia"/>
          <w:sz w:val="24"/>
          <w:szCs w:val="24"/>
        </w:rPr>
        <w:t>（</w:t>
      </w:r>
      <w:r>
        <w:rPr>
          <w:rFonts w:hint="eastAsia"/>
          <w:sz w:val="24"/>
          <w:szCs w:val="24"/>
          <w:lang w:val="en-US" w:eastAsia="zh-CN"/>
        </w:rPr>
        <w:t>2</w:t>
      </w:r>
      <w:r>
        <w:rPr>
          <w:rFonts w:hint="eastAsia"/>
          <w:sz w:val="24"/>
          <w:szCs w:val="24"/>
        </w:rPr>
        <w:t>）钻井固体废物处理依托设施</w:t>
      </w:r>
    </w:p>
    <w:p>
      <w:pPr>
        <w:pStyle w:val="26"/>
        <w:adjustRightInd w:val="0"/>
        <w:snapToGrid w:val="0"/>
        <w:ind w:firstLine="480"/>
        <w:jc w:val="both"/>
        <w:rPr>
          <w:rFonts w:hint="eastAsia"/>
          <w:sz w:val="24"/>
          <w:szCs w:val="24"/>
        </w:rPr>
      </w:pPr>
      <w:r>
        <w:rPr>
          <w:rFonts w:hint="eastAsia"/>
          <w:sz w:val="24"/>
          <w:szCs w:val="24"/>
        </w:rPr>
        <w:t>本项目</w:t>
      </w:r>
      <w:r>
        <w:rPr>
          <w:rFonts w:hint="eastAsia"/>
          <w:sz w:val="24"/>
          <w:szCs w:val="24"/>
          <w:lang w:val="en-US" w:eastAsia="zh-CN"/>
        </w:rPr>
        <w:t>钻井现场设置泥浆池，</w:t>
      </w:r>
      <w:r>
        <w:rPr>
          <w:rFonts w:hint="eastAsia"/>
          <w:sz w:val="24"/>
          <w:szCs w:val="24"/>
        </w:rPr>
        <w:t>泥浆池内铺设厚度大于0.5mm的防渗膜（防渗系数≤1×10-</w:t>
      </w:r>
      <w:r>
        <w:rPr>
          <w:rFonts w:hint="eastAsia"/>
          <w:sz w:val="24"/>
          <w:szCs w:val="24"/>
          <w:lang w:val="en-US" w:eastAsia="zh-CN"/>
        </w:rPr>
        <w:t>7</w:t>
      </w:r>
      <w:r>
        <w:rPr>
          <w:rFonts w:hint="eastAsia"/>
          <w:sz w:val="24"/>
          <w:szCs w:val="24"/>
        </w:rPr>
        <w:t>cm/s），完井后对其采用就地固化后覆土填埋的方式处理。</w:t>
      </w:r>
    </w:p>
    <w:p>
      <w:pPr>
        <w:pStyle w:val="26"/>
        <w:adjustRightInd w:val="0"/>
        <w:snapToGrid w:val="0"/>
        <w:ind w:firstLine="480"/>
        <w:jc w:val="both"/>
        <w:rPr>
          <w:sz w:val="24"/>
          <w:szCs w:val="24"/>
        </w:rPr>
      </w:pPr>
      <w:r>
        <w:rPr>
          <w:rFonts w:hint="eastAsia"/>
          <w:sz w:val="24"/>
          <w:szCs w:val="24"/>
        </w:rPr>
        <w:t>（</w:t>
      </w:r>
      <w:r>
        <w:rPr>
          <w:rFonts w:hint="eastAsia"/>
          <w:sz w:val="24"/>
          <w:szCs w:val="24"/>
          <w:lang w:val="en-US" w:eastAsia="zh-CN"/>
        </w:rPr>
        <w:t>3</w:t>
      </w:r>
      <w:r>
        <w:rPr>
          <w:rFonts w:hint="eastAsia"/>
          <w:sz w:val="24"/>
          <w:szCs w:val="24"/>
        </w:rPr>
        <w:t>）油泥砂贮存、处置依托设施</w:t>
      </w:r>
    </w:p>
    <w:p>
      <w:pPr>
        <w:pStyle w:val="21"/>
        <w:spacing w:line="360" w:lineRule="auto"/>
        <w:rPr>
          <w:kern w:val="2"/>
        </w:rPr>
      </w:pPr>
      <w:r>
        <w:rPr>
          <w:snapToGrid w:val="0"/>
          <w:kern w:val="2"/>
        </w:rPr>
        <w:t>调试期间</w:t>
      </w:r>
      <w:r>
        <w:rPr>
          <w:rFonts w:hint="eastAsia"/>
          <w:snapToGrid w:val="0"/>
          <w:kern w:val="2"/>
          <w:lang w:val="en-US" w:eastAsia="zh-CN"/>
        </w:rPr>
        <w:t>尚</w:t>
      </w:r>
      <w:r>
        <w:rPr>
          <w:snapToGrid w:val="0"/>
          <w:kern w:val="2"/>
        </w:rPr>
        <w:t>未产生油泥砂</w:t>
      </w:r>
      <w:r>
        <w:rPr>
          <w:rFonts w:hint="eastAsia"/>
          <w:snapToGrid w:val="0"/>
          <w:kern w:val="2"/>
          <w:lang w:eastAsia="zh-CN"/>
        </w:rPr>
        <w:t>，</w:t>
      </w:r>
      <w:r>
        <w:rPr>
          <w:snapToGrid w:val="0"/>
          <w:kern w:val="2"/>
        </w:rPr>
        <w:t>以后运营过程中</w:t>
      </w:r>
      <w:r>
        <w:rPr>
          <w:rFonts w:hint="default"/>
          <w:snapToGrid w:val="0"/>
          <w:kern w:val="2"/>
          <w:lang w:val="en-US" w:eastAsia="zh-CN"/>
        </w:rPr>
        <w:t>项目产生的油泥砂回收至</w:t>
      </w:r>
      <w:r>
        <w:rPr>
          <w:rFonts w:hint="eastAsia"/>
          <w:snapToGrid w:val="0"/>
          <w:kern w:val="2"/>
          <w:lang w:val="en-US" w:eastAsia="zh-CN"/>
        </w:rPr>
        <w:t>郝现油泥砂贮存场</w:t>
      </w:r>
      <w:r>
        <w:rPr>
          <w:rFonts w:hint="default"/>
          <w:snapToGrid w:val="0"/>
          <w:kern w:val="2"/>
          <w:lang w:val="en-US" w:eastAsia="zh-CN"/>
        </w:rPr>
        <w:t>暂存，最终委托有危废处理资质的</w:t>
      </w:r>
      <w:r>
        <w:rPr>
          <w:rFonts w:hint="eastAsia"/>
          <w:snapToGrid w:val="0"/>
          <w:kern w:val="2"/>
          <w:lang w:val="en-US" w:eastAsia="zh-CN"/>
        </w:rPr>
        <w:t>滨州市华滨聚成环保科技有限责任公司</w:t>
      </w:r>
      <w:r>
        <w:rPr>
          <w:rFonts w:hint="default"/>
          <w:snapToGrid w:val="0"/>
          <w:kern w:val="2"/>
          <w:lang w:val="en-US" w:eastAsia="zh-CN"/>
        </w:rPr>
        <w:t>进行无害化处理</w:t>
      </w:r>
      <w:r>
        <w:rPr>
          <w:snapToGrid w:val="0"/>
          <w:kern w:val="2"/>
        </w:rPr>
        <w:t>。</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7"/>
        </w:rPr>
        <w:t>1</w:t>
      </w:r>
      <w:r>
        <w:rPr>
          <w:rFonts w:ascii="宋体" w:hAnsi="宋体" w:eastAsia="宋体" w:cs="宋体"/>
          <w:color w:val="000000"/>
          <w:sz w:val="24"/>
          <w:szCs w:val="24"/>
        </w:rPr>
        <w:t>。</w:t>
      </w:r>
    </w:p>
    <w:p>
      <w:pPr>
        <w:pStyle w:val="24"/>
        <w:adjustRightInd w:val="0"/>
        <w:snapToGrid w:val="0"/>
        <w:spacing w:beforeLines="0" w:line="360" w:lineRule="auto"/>
        <w:rPr>
          <w:kern w:val="0"/>
        </w:rPr>
      </w:pPr>
      <w:r>
        <w:rPr>
          <w:rFonts w:hint="eastAsia"/>
          <w:kern w:val="0"/>
        </w:rPr>
        <w:t>表1  竣工环境保护验收过程一览表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541"/>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Align w:val="center"/>
          </w:tcPr>
          <w:p>
            <w:pPr>
              <w:pStyle w:val="20"/>
            </w:pPr>
            <w:r>
              <w:t>项目名称</w:t>
            </w:r>
          </w:p>
        </w:tc>
        <w:tc>
          <w:tcPr>
            <w:tcW w:w="1368" w:type="pct"/>
          </w:tcPr>
          <w:p>
            <w:pPr>
              <w:pStyle w:val="20"/>
            </w:pPr>
            <w:r>
              <w:t>程序流程</w:t>
            </w:r>
          </w:p>
        </w:tc>
        <w:tc>
          <w:tcPr>
            <w:tcW w:w="2194" w:type="pct"/>
            <w:vAlign w:val="center"/>
          </w:tcPr>
          <w:p>
            <w:pPr>
              <w:pStyle w:val="20"/>
            </w:pPr>
            <w: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vAlign w:val="center"/>
          </w:tcPr>
          <w:p>
            <w:pPr>
              <w:pStyle w:val="20"/>
            </w:pPr>
            <w:r>
              <w:rPr>
                <w:rFonts w:hint="default"/>
                <w:lang w:val="en-US" w:eastAsia="zh-CN"/>
              </w:rPr>
              <w:t>太平油田沾18块沾18-9-16等井区侧钻调整工程</w:t>
            </w:r>
          </w:p>
        </w:tc>
        <w:tc>
          <w:tcPr>
            <w:tcW w:w="1368" w:type="pct"/>
          </w:tcPr>
          <w:p>
            <w:pPr>
              <w:pStyle w:val="20"/>
              <w:rPr>
                <w:rFonts w:ascii="Times New Roman" w:hAnsi="Times New Roman"/>
              </w:rPr>
            </w:pPr>
            <w:r>
              <w:rPr>
                <w:rFonts w:ascii="Times New Roman" w:hAnsi="Times New Roman"/>
              </w:rPr>
              <w:t>竣工时间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10</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委托时间</w:t>
            </w:r>
          </w:p>
        </w:tc>
        <w:tc>
          <w:tcPr>
            <w:tcW w:w="2194" w:type="pct"/>
            <w:vAlign w:val="center"/>
          </w:tcPr>
          <w:p>
            <w:pPr>
              <w:pStyle w:val="20"/>
              <w:rPr>
                <w:rFonts w:hint="default" w:ascii="Times New Roman" w:hAnsi="Times New Roman" w:eastAsia="宋体"/>
                <w:lang w:val="en-US" w:eastAsia="zh-C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调试时间</w:t>
            </w:r>
          </w:p>
        </w:tc>
        <w:tc>
          <w:tcPr>
            <w:tcW w:w="2194" w:type="pct"/>
            <w:vAlign w:val="center"/>
          </w:tcPr>
          <w:p>
            <w:pPr>
              <w:pStyle w:val="20"/>
              <w:rPr>
                <w:rFonts w:ascii="Times New Roman" w:hAnsi="Times New Roman"/>
              </w:rPr>
            </w:pPr>
            <w:r>
              <w:rPr>
                <w:rFonts w:ascii="Times New Roman" w:hAnsi="Times New Roman"/>
                <w:szCs w:val="24"/>
              </w:rPr>
              <w:t>20</w:t>
            </w:r>
            <w:r>
              <w:rPr>
                <w:rFonts w:hint="eastAsia" w:ascii="Times New Roman" w:hAnsi="Times New Roman"/>
                <w:szCs w:val="24"/>
                <w:lang w:val="en-US" w:eastAsia="zh-CN"/>
              </w:rPr>
              <w:t>20</w:t>
            </w:r>
            <w:r>
              <w:rPr>
                <w:rFonts w:ascii="Times New Roman" w:hAnsi="Times New Roman"/>
                <w:szCs w:val="24"/>
              </w:rPr>
              <w:t>年</w:t>
            </w:r>
            <w:r>
              <w:rPr>
                <w:rFonts w:hint="eastAsia" w:ascii="Times New Roman" w:hAnsi="Times New Roman"/>
                <w:szCs w:val="24"/>
                <w:lang w:val="en-US" w:eastAsia="zh-CN"/>
              </w:rPr>
              <w:t>8</w:t>
            </w:r>
            <w:r>
              <w:rPr>
                <w:rFonts w:ascii="Times New Roman" w:hAnsi="Times New Roman"/>
                <w:szCs w:val="24"/>
              </w:rPr>
              <w:t>月</w:t>
            </w:r>
            <w:r>
              <w:rPr>
                <w:rFonts w:hint="eastAsia" w:ascii="Times New Roman" w:hAnsi="Times New Roman"/>
                <w:szCs w:val="24"/>
                <w:lang w:val="en-US" w:eastAsia="zh-CN"/>
              </w:rPr>
              <w:t>-</w:t>
            </w:r>
            <w:r>
              <w:rPr>
                <w:rFonts w:ascii="Times New Roman" w:hAnsi="Times New Roman"/>
                <w:szCs w:val="24"/>
              </w:rPr>
              <w:t>202</w:t>
            </w:r>
            <w:r>
              <w:rPr>
                <w:rFonts w:hint="eastAsia" w:ascii="Times New Roman" w:hAnsi="Times New Roman"/>
                <w:szCs w:val="24"/>
                <w:lang w:val="en-US" w:eastAsia="zh-CN"/>
              </w:rPr>
              <w:t>1</w:t>
            </w:r>
            <w:r>
              <w:rPr>
                <w:rFonts w:ascii="Times New Roman" w:hAnsi="Times New Roman"/>
                <w:szCs w:val="24"/>
              </w:rPr>
              <w:t>年</w:t>
            </w:r>
            <w:r>
              <w:rPr>
                <w:rFonts w:hint="eastAsia" w:ascii="Times New Roman" w:hAnsi="Times New Roman"/>
                <w:szCs w:val="24"/>
                <w:lang w:val="en-US" w:eastAsia="zh-CN"/>
              </w:rPr>
              <w:t>1</w:t>
            </w:r>
            <w:r>
              <w:rPr>
                <w:rFonts w:ascii="Times New Roman" w:hAnsi="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vAlign w:val="center"/>
          </w:tcPr>
          <w:p>
            <w:pPr>
              <w:pStyle w:val="20"/>
              <w:rPr>
                <w:rFonts w:ascii="Times New Roman" w:hAnsi="Times New Roman"/>
              </w:rPr>
            </w:pPr>
            <w:r>
              <w:rPr>
                <w:rFonts w:ascii="Times New Roman" w:hAnsi="Times New Roman"/>
              </w:rPr>
              <w:t>检测时间</w:t>
            </w:r>
          </w:p>
        </w:tc>
        <w:tc>
          <w:tcPr>
            <w:tcW w:w="2194" w:type="pct"/>
            <w:vAlign w:val="center"/>
          </w:tcPr>
          <w:p>
            <w:pPr>
              <w:pStyle w:val="20"/>
              <w:rPr>
                <w:rFonts w:hint="default" w:ascii="Times New Roman" w:hAnsi="Times New Roman" w:eastAsia="宋体"/>
                <w:lang w:val="en-US" w:eastAsia="zh-C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自主验收时间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11</w:t>
            </w:r>
            <w:r>
              <w:rPr>
                <w:rFonts w:ascii="Times New Roman" w:hAnsi="Times New Roman"/>
              </w:rPr>
              <w:t>月</w:t>
            </w:r>
            <w:r>
              <w:rPr>
                <w:rFonts w:hint="eastAsia" w:ascii="Times New Roman" w:hAnsi="Times New Roman"/>
                <w:lang w:val="en-US" w:eastAsia="zh-CN"/>
              </w:rPr>
              <w:t>27</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验收报告公示时间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12</w:t>
            </w:r>
            <w:r>
              <w:rPr>
                <w:rFonts w:ascii="Times New Roman" w:hAnsi="Times New Roman"/>
              </w:rPr>
              <w:t>月</w:t>
            </w:r>
            <w:r>
              <w:rPr>
                <w:rFonts w:hint="eastAsia" w:ascii="Times New Roman" w:hAnsi="Times New Roman"/>
                <w:lang w:val="en-US" w:eastAsia="zh-CN"/>
              </w:rPr>
              <w:t>8</w:t>
            </w:r>
            <w:r>
              <w:rPr>
                <w:rFonts w:ascii="Times New Roman" w:hAnsi="Times New Roman"/>
              </w:rPr>
              <w:t>日</w:t>
            </w:r>
            <w:r>
              <w:rPr>
                <w:rFonts w:hint="eastAsia" w:ascii="Times New Roman" w:hAnsi="Times New Roman"/>
                <w:lang w:val="en-US" w:eastAsia="zh-CN"/>
              </w:rPr>
              <w:t>-2021年1</w:t>
            </w:r>
            <w:r>
              <w:rPr>
                <w:rFonts w:ascii="Times New Roman" w:hAnsi="Times New Roman"/>
              </w:rPr>
              <w:t>月</w:t>
            </w:r>
            <w:r>
              <w:rPr>
                <w:rFonts w:hint="eastAsia" w:ascii="Times New Roman" w:hAnsi="Times New Roman"/>
                <w:lang w:val="en-US" w:eastAsia="zh-CN"/>
              </w:rPr>
              <w:t>6</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全国网公示时间</w:t>
            </w:r>
          </w:p>
        </w:tc>
        <w:tc>
          <w:tcPr>
            <w:tcW w:w="2194" w:type="pct"/>
            <w:vAlign w:val="center"/>
          </w:tcPr>
          <w:p>
            <w:pPr>
              <w:pStyle w:val="20"/>
              <w:rPr>
                <w:rFonts w:hint="default" w:ascii="Times New Roman" w:hAnsi="Times New Roman" w:eastAsia="宋体"/>
                <w:lang w:val="en-US" w:eastAsia="zh-CN"/>
              </w:rPr>
            </w:pPr>
          </w:p>
        </w:tc>
      </w:tr>
    </w:tbl>
    <w:p>
      <w:pPr>
        <w:spacing w:after="0" w:line="360" w:lineRule="auto"/>
        <w:ind w:firstLine="482"/>
        <w:jc w:val="both"/>
        <w:rPr>
          <w:rFonts w:ascii="Times New Roman" w:hAnsi="Times New Roman" w:eastAsia="宋体"/>
          <w:b/>
          <w:bCs/>
          <w:sz w:val="21"/>
          <w:szCs w:val="21"/>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2.1.1 环保组织机构</w:t>
      </w:r>
    </w:p>
    <w:p>
      <w:pPr>
        <w:pStyle w:val="21"/>
        <w:spacing w:line="360" w:lineRule="auto"/>
      </w:pPr>
      <w:r>
        <w:rPr>
          <w:rFonts w:hint="eastAsia"/>
        </w:rPr>
        <w:t>建设单位QHS</w:t>
      </w:r>
      <w:r>
        <w:t>S</w:t>
      </w:r>
      <w:r>
        <w:rPr>
          <w:rFonts w:hint="eastAsia"/>
        </w:rPr>
        <w:t>E管理</w:t>
      </w:r>
      <w:r>
        <w:rPr>
          <w:rFonts w:hint="eastAsia"/>
          <w:lang w:val="en-US" w:eastAsia="zh-CN"/>
        </w:rPr>
        <w:t>部</w:t>
      </w:r>
      <w:r>
        <w:rPr>
          <w:rFonts w:hint="eastAsia"/>
        </w:rPr>
        <w:t>负责全公司环保专业技术综合管理，机关各业务部门按各自环保管理职责负责分管业务范围内的环保管理。采油厂所属各单位、直属单位按采油厂环保管理实施细则负责本单位环保管理。</w:t>
      </w:r>
    </w:p>
    <w:p>
      <w:pPr>
        <w:pStyle w:val="21"/>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pStyle w:val="21"/>
        <w:spacing w:line="360" w:lineRule="auto"/>
      </w:pPr>
      <w:r>
        <w:rPr>
          <w:rFonts w:hint="eastAsia"/>
        </w:rPr>
        <w:t>在生产运营期，由建设单位QHS</w:t>
      </w:r>
      <w:r>
        <w:t>S</w:t>
      </w:r>
      <w:r>
        <w:rPr>
          <w:rFonts w:hint="eastAsia"/>
        </w:rPr>
        <w:t>E管理</w:t>
      </w:r>
      <w:r>
        <w:rPr>
          <w:rFonts w:hint="eastAsia"/>
          <w:lang w:val="en-US" w:eastAsia="zh-CN"/>
        </w:rPr>
        <w:t>部</w:t>
      </w:r>
      <w:r>
        <w:rPr>
          <w:rFonts w:hint="eastAsia"/>
        </w:rPr>
        <w:t>统一负责本项目的环保管理工作，在井区内设置专职环保员，负责环保文件和技术资料的归档，协助进行环保工程的验收，负责运营期间的环境监测、事故防范和外部协调工作。</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w:t>
      </w: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环境风险防范措施</w:t>
      </w:r>
    </w:p>
    <w:p>
      <w:pPr>
        <w:spacing w:after="0" w:line="360" w:lineRule="auto"/>
        <w:ind w:firstLine="480" w:firstLineChars="200"/>
        <w:rPr>
          <w:rFonts w:ascii="宋体" w:hAnsi="宋体" w:eastAsia="宋体" w:cs="宋体"/>
          <w:color w:val="000000"/>
          <w:sz w:val="24"/>
          <w:szCs w:val="24"/>
        </w:rPr>
      </w:pPr>
      <w:r>
        <w:rPr>
          <w:rFonts w:hint="eastAsia" w:ascii="宋体" w:hAnsi="宋体" w:eastAsia="宋体" w:cs="宋体"/>
          <w:bCs/>
          <w:sz w:val="24"/>
          <w:szCs w:val="24"/>
        </w:rPr>
        <w:t>项目的风险事故主要是</w:t>
      </w:r>
      <w:r>
        <w:rPr>
          <w:rFonts w:hint="eastAsia" w:ascii="宋体" w:hAnsi="宋体" w:eastAsia="宋体" w:cs="宋体"/>
          <w:color w:val="000000"/>
          <w:sz w:val="24"/>
          <w:szCs w:val="24"/>
        </w:rPr>
        <w:t>施工期钻井期间的井喷事故，运营期管线穿孔、破裂造成的泄漏事故。</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①</w:t>
      </w:r>
      <w:r>
        <w:rPr>
          <w:rFonts w:hint="eastAsia" w:ascii="宋体" w:hAnsi="宋体" w:eastAsia="宋体" w:cs="宋体"/>
          <w:bCs/>
          <w:sz w:val="24"/>
          <w:szCs w:val="24"/>
        </w:rPr>
        <w:t>单井集油管线涂防腐保护层，加强管线巡检，及时发现问题。</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②</w:t>
      </w:r>
      <w:r>
        <w:rPr>
          <w:rFonts w:hint="eastAsia" w:ascii="宋体" w:hAnsi="宋体" w:eastAsia="宋体" w:cs="宋体"/>
          <w:bCs/>
          <w:sz w:val="24"/>
          <w:szCs w:val="24"/>
        </w:rPr>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2.1.3</w:t>
      </w:r>
      <w:r>
        <w:rPr>
          <w:rFonts w:ascii="Times New Roman" w:hAnsi="Times New Roman" w:eastAsia="宋体"/>
          <w:b/>
          <w:bCs/>
          <w:sz w:val="24"/>
          <w:szCs w:val="24"/>
        </w:rPr>
        <w:t>环境监测计划</w:t>
      </w:r>
    </w:p>
    <w:p>
      <w:pPr>
        <w:pStyle w:val="21"/>
        <w:spacing w:line="360" w:lineRule="auto"/>
      </w:pPr>
      <w:r>
        <w:rPr>
          <w:rFonts w:hint="eastAsia"/>
        </w:rPr>
        <w:t>本项目已经按环评文件要求制定环境监测计划，目前，企业刚通过竣工环保验收，工作时间较短，尚未进行环境监测。</w:t>
      </w:r>
    </w:p>
    <w:p>
      <w:pPr>
        <w:pStyle w:val="21"/>
        <w:spacing w:line="360" w:lineRule="auto"/>
      </w:pPr>
      <w:r>
        <w:t>通过现场调查发现，</w:t>
      </w:r>
      <w:r>
        <w:rPr>
          <w:rFonts w:hint="eastAsia"/>
          <w:lang w:val="en-US" w:eastAsia="zh-CN"/>
        </w:rPr>
        <w:t>纯梁</w:t>
      </w:r>
      <w:r>
        <w:rPr>
          <w:rFonts w:hint="eastAsia"/>
        </w:rPr>
        <w:t>采油厂</w:t>
      </w:r>
      <w:r>
        <w:t>及其下属各施工单位和运营单位对环境保护工作比较重视，在施工期及运营期建立了HSE管理体系。</w:t>
      </w:r>
    </w:p>
    <w:p>
      <w:pPr>
        <w:pStyle w:val="21"/>
        <w:spacing w:line="360" w:lineRule="auto"/>
      </w:pPr>
      <w:r>
        <w:t>从现场调查和监测资料查阅来看，</w:t>
      </w:r>
      <w:r>
        <w:rPr>
          <w:rFonts w:hint="eastAsia"/>
          <w:lang w:val="en-US" w:eastAsia="zh-CN"/>
        </w:rPr>
        <w:t>纯梁</w:t>
      </w:r>
      <w:r>
        <w:rPr>
          <w:rFonts w:hint="eastAsia"/>
        </w:rPr>
        <w:t>采油厂</w:t>
      </w:r>
      <w:r>
        <w:t>按照</w:t>
      </w:r>
      <w:r>
        <w:rPr>
          <w:color w:val="000000" w:themeColor="text1"/>
        </w:rPr>
        <w:t>胜利油田QHSSE委员会</w:t>
      </w:r>
      <w:r>
        <w:t>的监测计划，对废气、固体废物处置、噪声进行了现场监测。</w:t>
      </w:r>
    </w:p>
    <w:p>
      <w:pPr>
        <w:pStyle w:val="21"/>
        <w:spacing w:line="360" w:lineRule="auto"/>
        <w:rPr>
          <w:rFonts w:ascii="宋体" w:hAnsi="宋体" w:eastAsia="宋体"/>
          <w:bCs/>
          <w:kern w:val="2"/>
          <w:sz w:val="24"/>
          <w:szCs w:val="24"/>
        </w:rPr>
      </w:pPr>
      <w:r>
        <w:rPr>
          <w:rFonts w:hint="eastAsia"/>
        </w:rPr>
        <w:t>建设单位对污染源、污染治理设施运行效果制定了详细的环境监测计划，对于不具备监测能力的委托有资质单位进行。</w:t>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2.1.4关于“环评批复中提出的其他要求”落实情况</w:t>
      </w:r>
    </w:p>
    <w:p>
      <w:pPr>
        <w:pStyle w:val="21"/>
        <w:spacing w:line="360" w:lineRule="auto"/>
      </w:pPr>
      <w:r>
        <w:rPr>
          <w:rFonts w:hint="eastAsia"/>
        </w:rPr>
        <w:t>“环评批复中提出的其它要求”落实情况见表3。</w:t>
      </w:r>
    </w:p>
    <w:p>
      <w:pPr>
        <w:pStyle w:val="24"/>
        <w:adjustRightInd w:val="0"/>
        <w:snapToGrid w:val="0"/>
        <w:spacing w:beforeLines="0" w:line="360" w:lineRule="auto"/>
        <w:rPr>
          <w:kern w:val="0"/>
          <w:sz w:val="24"/>
          <w:szCs w:val="24"/>
        </w:rPr>
      </w:pPr>
      <w:r>
        <w:rPr>
          <w:rFonts w:hint="eastAsia"/>
          <w:kern w:val="0"/>
          <w:sz w:val="24"/>
          <w:szCs w:val="24"/>
        </w:rPr>
        <w:t xml:space="preserve">表3  环评批复中提出的其它要求落实情况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3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pStyle w:val="20"/>
              <w:rPr>
                <w:snapToGrid w:val="0"/>
              </w:rPr>
            </w:pPr>
            <w:r>
              <w:rPr>
                <w:rFonts w:hint="eastAsia"/>
                <w:snapToGrid w:val="0"/>
              </w:rPr>
              <w:t>序号</w:t>
            </w:r>
          </w:p>
        </w:tc>
        <w:tc>
          <w:tcPr>
            <w:tcW w:w="2496" w:type="pct"/>
            <w:vAlign w:val="center"/>
          </w:tcPr>
          <w:p>
            <w:pPr>
              <w:pStyle w:val="20"/>
              <w:rPr>
                <w:snapToGrid w:val="0"/>
              </w:rPr>
            </w:pPr>
            <w:r>
              <w:rPr>
                <w:rFonts w:hint="eastAsia"/>
                <w:snapToGrid w:val="0"/>
              </w:rPr>
              <w:t>环评批复中提出要求</w:t>
            </w:r>
          </w:p>
        </w:tc>
        <w:tc>
          <w:tcPr>
            <w:tcW w:w="2025" w:type="pct"/>
            <w:vAlign w:val="center"/>
          </w:tcPr>
          <w:p>
            <w:pPr>
              <w:pStyle w:val="20"/>
              <w:rPr>
                <w:snapToGrid w:val="0"/>
              </w:rPr>
            </w:pPr>
            <w:r>
              <w:rPr>
                <w:rFonts w:hint="eastAsia"/>
                <w:snapToGrid w:val="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pStyle w:val="20"/>
              <w:rPr>
                <w:rFonts w:hAnsi="Times New Roman"/>
              </w:rPr>
            </w:pPr>
            <w:r>
              <w:rPr>
                <w:rFonts w:hint="eastAsia" w:hAnsi="Times New Roman"/>
              </w:rPr>
              <w:t>1</w:t>
            </w:r>
          </w:p>
        </w:tc>
        <w:tc>
          <w:tcPr>
            <w:tcW w:w="2496" w:type="pct"/>
            <w:vAlign w:val="center"/>
          </w:tcPr>
          <w:p>
            <w:pPr>
              <w:pStyle w:val="20"/>
              <w:jc w:val="both"/>
              <w:rPr>
                <w:rFonts w:hint="eastAsia" w:ascii="Times New Roman" w:hAnsi="Times New Roman"/>
                <w:lang w:val="en-US" w:eastAsia="zh-CN"/>
              </w:rPr>
            </w:pPr>
            <w:r>
              <w:rPr>
                <w:rFonts w:hint="eastAsia" w:ascii="Times New Roman" w:hAnsi="Times New Roman"/>
                <w:lang w:val="en-US" w:eastAsia="zh-CN"/>
              </w:rPr>
              <w:t>1、报告表确定的卫生防护距离为项目井场50米。</w:t>
            </w:r>
          </w:p>
          <w:p>
            <w:pPr>
              <w:pStyle w:val="20"/>
              <w:jc w:val="both"/>
              <w:rPr>
                <w:rFonts w:hint="eastAsia" w:ascii="Times New Roman" w:hAnsi="Times New Roman"/>
                <w:lang w:val="en-US" w:eastAsia="zh-CN"/>
              </w:rPr>
            </w:pPr>
            <w:r>
              <w:rPr>
                <w:rFonts w:hint="eastAsia" w:ascii="Times New Roman" w:hAnsi="Times New Roman"/>
                <w:lang w:val="en-US" w:eastAsia="zh-CN"/>
              </w:rPr>
              <w:t>2、按照国家和地方有关规定设置规范的污染物排放口、采样孔口和采样监测平台。</w:t>
            </w:r>
          </w:p>
          <w:p>
            <w:pPr>
              <w:pStyle w:val="20"/>
              <w:jc w:val="both"/>
              <w:rPr>
                <w:rFonts w:ascii="Times New Roman" w:hAnsi="Times New Roman"/>
              </w:rPr>
            </w:pPr>
            <w:r>
              <w:rPr>
                <w:rFonts w:hint="eastAsia" w:ascii="Times New Roman" w:hAnsi="Times New Roman"/>
                <w:lang w:val="en-US" w:eastAsia="zh-CN"/>
              </w:rPr>
              <w:t>3、输油管道必须严格按照《输油管道工程设计规范》（GB 50253-2014）要求进行施工，进一步优化管线路由，避让居民区、医院、学校等敏感目标。</w:t>
            </w:r>
          </w:p>
        </w:tc>
        <w:tc>
          <w:tcPr>
            <w:tcW w:w="2025" w:type="pct"/>
            <w:vAlign w:val="center"/>
          </w:tcPr>
          <w:p>
            <w:pPr>
              <w:widowControl w:val="0"/>
              <w:autoSpaceDE w:val="0"/>
              <w:autoSpaceDN w:val="0"/>
              <w:spacing w:after="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经现场调查，本项目井场50m内无环境敏感目标，距离本项目最近的村庄为项目井场西南侧331m的尹家村。</w:t>
            </w:r>
          </w:p>
          <w:p>
            <w:pPr>
              <w:widowControl w:val="0"/>
              <w:autoSpaceDE w:val="0"/>
              <w:autoSpaceDN w:val="0"/>
              <w:spacing w:after="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2、本项目新建多功能罐烟囱均设置有规范的采样口。</w:t>
            </w:r>
          </w:p>
          <w:p>
            <w:pPr>
              <w:widowControl w:val="0"/>
              <w:autoSpaceDE w:val="0"/>
              <w:autoSpaceDN w:val="0"/>
              <w:spacing w:after="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本项目建设的单井集油管线格按照《输油管道工程设计规范》（GB 253-2014）要求进行施工，</w:t>
            </w:r>
            <w:r>
              <w:rPr>
                <w:rFonts w:hint="eastAsia" w:ascii="Times New Roman" w:hAnsi="Times New Roman" w:eastAsia="宋体" w:cs="Times New Roman"/>
                <w:kern w:val="2"/>
                <w:sz w:val="21"/>
                <w:szCs w:val="21"/>
                <w:lang w:val="en-US" w:eastAsia="zh-CN" w:bidi="ar-SA"/>
              </w:rPr>
              <w:t>未穿越敏感目标</w:t>
            </w:r>
            <w:r>
              <w:rPr>
                <w:rFonts w:hint="default" w:ascii="Times New Roman" w:hAnsi="Times New Roman" w:eastAsia="宋体" w:cs="Times New Roman"/>
                <w:kern w:val="2"/>
                <w:sz w:val="21"/>
                <w:szCs w:val="21"/>
                <w:lang w:val="en-US" w:eastAsia="zh-CN" w:bidi="ar-SA"/>
              </w:rPr>
              <w:t>。</w:t>
            </w:r>
          </w:p>
        </w:tc>
      </w:tr>
    </w:tbl>
    <w:p>
      <w:pPr>
        <w:pStyle w:val="21"/>
        <w:rPr>
          <w:snapToGrid w:val="0"/>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3整改工作情况</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3.1报告表中提出的原有工程整改情况</w:t>
      </w:r>
    </w:p>
    <w:p>
      <w:pPr>
        <w:pStyle w:val="21"/>
        <w:spacing w:line="360" w:lineRule="auto"/>
      </w:pPr>
      <w:r>
        <w:rPr>
          <w:rFonts w:hint="eastAsia"/>
          <w:snapToGrid w:val="0"/>
        </w:rPr>
        <w:t>本项目为新建项目，不存在原有工程的整改情况</w:t>
      </w:r>
      <w:r>
        <w:rPr>
          <w:rFonts w:hint="eastAsia"/>
        </w:rPr>
        <w:t>。</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3.2建设项目竣工环境保护验收意见整改情况</w:t>
      </w:r>
    </w:p>
    <w:p>
      <w:pPr>
        <w:widowControl w:val="0"/>
        <w:spacing w:after="0" w:line="360" w:lineRule="auto"/>
        <w:ind w:firstLine="480" w:firstLineChars="200"/>
        <w:jc w:val="both"/>
        <w:rPr>
          <w:rFonts w:hint="eastAsia" w:ascii="宋体" w:hAnsi="宋体" w:eastAsia="宋体"/>
          <w:bCs/>
          <w:color w:val="000000"/>
          <w:kern w:val="2"/>
          <w:sz w:val="24"/>
          <w:szCs w:val="24"/>
          <w:lang w:val="en-US" w:eastAsia="zh-CN"/>
        </w:rPr>
      </w:pPr>
      <w:r>
        <w:rPr>
          <w:rFonts w:hint="eastAsia" w:ascii="宋体" w:hAnsi="宋体" w:eastAsia="宋体"/>
          <w:bCs/>
          <w:color w:val="000000"/>
          <w:kern w:val="2"/>
          <w:sz w:val="24"/>
          <w:szCs w:val="24"/>
          <w:lang w:val="en-US" w:eastAsia="zh-CN"/>
        </w:rPr>
        <w:t>专家意见：</w:t>
      </w:r>
      <w:r>
        <w:rPr>
          <w:rFonts w:hint="eastAsia" w:ascii="宋体" w:hAnsi="宋体" w:eastAsia="宋体"/>
          <w:bCs/>
          <w:color w:val="000000"/>
          <w:kern w:val="2"/>
          <w:sz w:val="24"/>
          <w:szCs w:val="24"/>
        </w:rPr>
        <w:t>补充完善验收报告的有关图片</w:t>
      </w:r>
      <w:r>
        <w:rPr>
          <w:rFonts w:hint="eastAsia" w:ascii="宋体" w:hAnsi="宋体" w:eastAsia="宋体"/>
          <w:bCs/>
          <w:color w:val="000000"/>
          <w:kern w:val="2"/>
          <w:sz w:val="24"/>
          <w:szCs w:val="24"/>
          <w:lang w:val="en-US" w:eastAsia="zh-CN"/>
        </w:rPr>
        <w:t>。</w:t>
      </w:r>
    </w:p>
    <w:p>
      <w:pPr>
        <w:widowControl w:val="0"/>
        <w:spacing w:after="0" w:line="360" w:lineRule="auto"/>
        <w:ind w:firstLine="480" w:firstLineChars="200"/>
        <w:jc w:val="both"/>
        <w:rPr>
          <w:rFonts w:hint="default" w:ascii="宋体" w:hAnsi="宋体" w:eastAsia="宋体"/>
          <w:bCs/>
          <w:color w:val="000000"/>
          <w:kern w:val="2"/>
          <w:sz w:val="24"/>
          <w:szCs w:val="24"/>
          <w:lang w:val="en-US" w:eastAsia="zh-CN"/>
        </w:rPr>
      </w:pPr>
      <w:r>
        <w:rPr>
          <w:rFonts w:hint="eastAsia" w:ascii="宋体" w:hAnsi="宋体" w:eastAsia="宋体"/>
          <w:bCs/>
          <w:color w:val="000000"/>
          <w:kern w:val="2"/>
          <w:sz w:val="24"/>
          <w:szCs w:val="24"/>
          <w:lang w:val="en-US" w:eastAsia="zh-CN"/>
        </w:rPr>
        <w:t>整改说明：补充了多功能罐排放口标志照片见附件11；补充了固化泥浆池标志照片，见附件12；补充了内审表等相关附件。</w:t>
      </w:r>
      <w:bookmarkStart w:id="0" w:name="_GoBack"/>
      <w:bookmarkEnd w:id="0"/>
    </w:p>
    <w:p>
      <w:pPr>
        <w:widowControl w:val="0"/>
        <w:spacing w:after="0" w:line="360" w:lineRule="auto"/>
        <w:ind w:firstLine="480" w:firstLineChars="200"/>
        <w:jc w:val="both"/>
        <w:rPr>
          <w:rFonts w:ascii="宋体" w:hAnsi="宋体" w:eastAsia="宋体"/>
          <w:bCs/>
          <w:color w:val="000000"/>
          <w:kern w:val="2"/>
          <w:sz w:val="24"/>
          <w:szCs w:val="24"/>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96C84"/>
    <w:rsid w:val="000B612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72DEF"/>
    <w:rsid w:val="00DB58A0"/>
    <w:rsid w:val="00DC774B"/>
    <w:rsid w:val="00DF043E"/>
    <w:rsid w:val="00E05406"/>
    <w:rsid w:val="00E45DCE"/>
    <w:rsid w:val="00E64B26"/>
    <w:rsid w:val="00E75CE5"/>
    <w:rsid w:val="00E95094"/>
    <w:rsid w:val="00EA140E"/>
    <w:rsid w:val="00F122F0"/>
    <w:rsid w:val="00F26AE1"/>
    <w:rsid w:val="00F55E7A"/>
    <w:rsid w:val="00F6125B"/>
    <w:rsid w:val="00F72402"/>
    <w:rsid w:val="00FA32CC"/>
    <w:rsid w:val="00FE4ABB"/>
    <w:rsid w:val="01D827CB"/>
    <w:rsid w:val="03FA0A9B"/>
    <w:rsid w:val="58D6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line="240" w:lineRule="auto"/>
      <w:ind w:firstLine="420"/>
    </w:pPr>
    <w:rPr>
      <w:rFonts w:asciiTheme="minorHAnsi" w:hAnsiTheme="minorHAnsi"/>
      <w:sz w:val="21"/>
    </w:rPr>
  </w:style>
  <w:style w:type="paragraph" w:styleId="3">
    <w:name w:val="Body Text Indent"/>
    <w:basedOn w:val="1"/>
    <w:next w:val="4"/>
    <w:qFormat/>
    <w:uiPriority w:val="0"/>
    <w:pPr>
      <w:spacing w:after="120"/>
      <w:ind w:left="420" w:leftChars="200"/>
    </w:p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numPr>
        <w:ilvl w:val="1"/>
        <w:numId w:val="1"/>
      </w:numPr>
      <w:spacing w:line="360" w:lineRule="auto"/>
    </w:pPr>
    <w:rPr>
      <w:rFonts w:ascii="Calibri" w:hAnsi="Calibri"/>
      <w:kern w:val="2"/>
      <w:sz w:val="21"/>
      <w:szCs w:val="22"/>
      <w:lang w:val="zh-CN"/>
    </w:rPr>
  </w:style>
  <w:style w:type="paragraph" w:styleId="8">
    <w:name w:val="Normal Indent"/>
    <w:basedOn w:val="1"/>
    <w:unhideWhenUsed/>
    <w:qFormat/>
    <w:uiPriority w:val="99"/>
    <w:pPr>
      <w:ind w:firstLine="420"/>
    </w:pPr>
    <w:rPr>
      <w:rFonts w:eastAsia="宋体"/>
      <w:kern w:val="2"/>
      <w:sz w:val="21"/>
    </w:rPr>
  </w:style>
  <w:style w:type="paragraph" w:styleId="9">
    <w:name w:val="Document Map"/>
    <w:basedOn w:val="1"/>
    <w:link w:val="19"/>
    <w:semiHidden/>
    <w:unhideWhenUsed/>
    <w:qFormat/>
    <w:uiPriority w:val="99"/>
    <w:rPr>
      <w:rFonts w:ascii="宋体" w:eastAsia="宋体"/>
      <w:sz w:val="18"/>
      <w:szCs w:val="18"/>
    </w:rPr>
  </w:style>
  <w:style w:type="paragraph" w:styleId="10">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11">
    <w:name w:val="Balloon Text"/>
    <w:basedOn w:val="1"/>
    <w:link w:val="35"/>
    <w:semiHidden/>
    <w:unhideWhenUsed/>
    <w:uiPriority w:val="99"/>
    <w:pPr>
      <w:spacing w:after="0"/>
    </w:pPr>
    <w:rPr>
      <w:sz w:val="18"/>
      <w:szCs w:val="18"/>
    </w:rPr>
  </w:style>
  <w:style w:type="paragraph" w:styleId="12">
    <w:name w:val="footer"/>
    <w:basedOn w:val="1"/>
    <w:link w:val="18"/>
    <w:uiPriority w:val="0"/>
    <w:pPr>
      <w:tabs>
        <w:tab w:val="center" w:pos="4153"/>
        <w:tab w:val="right" w:pos="8306"/>
      </w:tabs>
    </w:pPr>
    <w:rPr>
      <w:sz w:val="18"/>
    </w:rPr>
  </w:style>
  <w:style w:type="paragraph" w:styleId="13">
    <w:name w:val="header"/>
    <w:basedOn w:val="1"/>
    <w:link w:val="36"/>
    <w:unhideWhenUsed/>
    <w:uiPriority w:val="99"/>
    <w:pPr>
      <w:pBdr>
        <w:bottom w:val="single" w:color="auto" w:sz="6" w:space="1"/>
      </w:pBdr>
      <w:tabs>
        <w:tab w:val="center" w:pos="4153"/>
        <w:tab w:val="right" w:pos="8306"/>
      </w:tabs>
      <w:jc w:val="center"/>
    </w:pPr>
    <w:rPr>
      <w:sz w:val="18"/>
      <w:szCs w:val="18"/>
    </w:rPr>
  </w:style>
  <w:style w:type="table" w:styleId="15">
    <w:name w:val="Table Grid"/>
    <w:basedOn w:val="14"/>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style21"/>
    <w:basedOn w:val="16"/>
    <w:qFormat/>
    <w:uiPriority w:val="0"/>
    <w:rPr>
      <w:rFonts w:ascii="TimesNewRomanPSMT" w:hAnsi="TimesNewRomanPSMT" w:eastAsia="TimesNewRomanPSMT" w:cs="TimesNewRomanPSMT"/>
      <w:color w:val="000000"/>
      <w:sz w:val="24"/>
      <w:szCs w:val="24"/>
    </w:rPr>
  </w:style>
  <w:style w:type="character" w:customStyle="1" w:styleId="18">
    <w:name w:val="页脚 字符"/>
    <w:basedOn w:val="16"/>
    <w:link w:val="12"/>
    <w:qFormat/>
    <w:uiPriority w:val="0"/>
    <w:rPr>
      <w:rFonts w:ascii="Tahoma" w:hAnsi="Tahoma" w:eastAsia="微软雅黑" w:cs="Times New Roman"/>
      <w:kern w:val="0"/>
      <w:sz w:val="18"/>
    </w:rPr>
  </w:style>
  <w:style w:type="character" w:customStyle="1" w:styleId="19">
    <w:name w:val="文档结构图 字符"/>
    <w:basedOn w:val="16"/>
    <w:link w:val="9"/>
    <w:semiHidden/>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字符"/>
    <w:basedOn w:val="16"/>
    <w:link w:val="10"/>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1"/>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8">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29">
    <w:name w:val="样式 表（或图）标题"/>
    <w:basedOn w:val="1"/>
    <w:link w:val="30"/>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6"/>
    <w:qFormat/>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8"/>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6"/>
    <w:link w:val="11"/>
    <w:semiHidden/>
    <w:uiPriority w:val="99"/>
    <w:rPr>
      <w:rFonts w:ascii="Tahoma" w:hAnsi="Tahoma" w:eastAsia="微软雅黑" w:cs="Times New Roman"/>
      <w:kern w:val="0"/>
      <w:sz w:val="18"/>
      <w:szCs w:val="18"/>
    </w:rPr>
  </w:style>
  <w:style w:type="character" w:customStyle="1" w:styleId="36">
    <w:name w:val="页眉 字符"/>
    <w:basedOn w:val="16"/>
    <w:link w:val="13"/>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EA98901-41A1-4DDA-96EB-531FF04D063B}"/>
</file>

<file path=customXml/itemProps3.xml><?xml version="1.0" encoding="utf-8"?>
<ds:datastoreItem xmlns:ds="http://schemas.openxmlformats.org/officeDocument/2006/customXml" ds:itemID="{5BD68ADF-58CB-47A2-A33A-570DE0D6C0A3}"/>
</file>

<file path=customXml/itemProps4.xml><?xml version="1.0" encoding="utf-8"?>
<ds:datastoreItem xmlns:ds="http://schemas.openxmlformats.org/officeDocument/2006/customXml" ds:itemID="{97669F3B-0A50-4AFD-BD00-DE63C157977D}"/>
</file>

<file path=customXml/itemProps5.xml><?xml version="1.0" encoding="utf-8"?>
<ds:datastoreItem xmlns:ds="http://schemas.openxmlformats.org/officeDocument/2006/customXml" ds:itemID="{1B164B06-0D70-4A20-8157-17110D8327F3}"/>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1591</Characters>
  <Lines>13</Lines>
  <Paragraphs>3</Paragraphs>
  <TotalTime>0</TotalTime>
  <ScaleCrop>false</ScaleCrop>
  <LinksUpToDate>false</LinksUpToDate>
  <CharactersWithSpaces>1867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68</cp:revision>
  <dcterms:created xsi:type="dcterms:W3CDTF">2019-02-25T11:20:00Z</dcterms:created>
  <dcterms:modified xsi:type="dcterms:W3CDTF">2020-12-24T08:32:24Z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0x010100313989E510CC474A862876A387D6F14A</vt:lpwstr>
  </property>
</Properties>
</file>