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00" w:lineRule="exact"/>
        <w:jc w:val="center"/>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spacing w:after="0" w:line="360" w:lineRule="auto"/>
        <w:ind w:firstLine="482"/>
        <w:jc w:val="both"/>
        <w:rPr>
          <w:rFonts w:ascii="Times New Roman" w:hAnsi="Times New Roman" w:eastAsia="宋体"/>
          <w:sz w:val="28"/>
          <w:szCs w:val="28"/>
        </w:rPr>
      </w:pPr>
      <w:r>
        <w:rPr>
          <w:rFonts w:hint="eastAsia" w:ascii="Times New Roman" w:hAnsi="Times New Roman" w:eastAsia="宋体"/>
          <w:b/>
          <w:bCs/>
          <w:sz w:val="28"/>
          <w:szCs w:val="28"/>
        </w:rPr>
        <w:t>1.1设计、施工简况</w:t>
      </w:r>
    </w:p>
    <w:p>
      <w:pPr>
        <w:pStyle w:val="26"/>
        <w:adjustRightInd w:val="0"/>
        <w:snapToGrid w:val="0"/>
        <w:ind w:firstLine="482" w:firstLineChars="0"/>
        <w:jc w:val="both"/>
        <w:rPr>
          <w:sz w:val="24"/>
          <w:szCs w:val="24"/>
        </w:rPr>
      </w:pPr>
      <w:r>
        <w:rPr>
          <w:rFonts w:hint="eastAsia"/>
          <w:sz w:val="24"/>
          <w:szCs w:val="24"/>
        </w:rPr>
        <w:t>（1）</w:t>
      </w:r>
      <w:r>
        <w:rPr>
          <w:rFonts w:hint="eastAsia"/>
          <w:sz w:val="24"/>
          <w:szCs w:val="24"/>
          <w:lang w:val="en-US" w:eastAsia="zh-CN"/>
        </w:rPr>
        <w:t>废气</w:t>
      </w:r>
      <w:r>
        <w:rPr>
          <w:rFonts w:hint="eastAsia"/>
          <w:sz w:val="24"/>
          <w:szCs w:val="24"/>
        </w:rPr>
        <w:t>处理依托设施</w:t>
      </w:r>
    </w:p>
    <w:p>
      <w:pPr>
        <w:pStyle w:val="21"/>
        <w:spacing w:line="360" w:lineRule="auto"/>
        <w:ind w:firstLine="482" w:firstLineChars="0"/>
      </w:pPr>
      <w:r>
        <w:rPr>
          <w:rFonts w:hint="eastAsia"/>
        </w:rPr>
        <w:t>本项目</w:t>
      </w:r>
      <w:r>
        <w:rPr>
          <w:rFonts w:hint="eastAsia" w:ascii="Times New Roman" w:hAnsi="Times New Roman" w:eastAsia="宋体" w:cs="Times New Roman"/>
          <w:sz w:val="24"/>
          <w:szCs w:val="24"/>
        </w:rPr>
        <w:t>运营期主要污染物为缓冲池产生的非甲烷总烃无组织排放</w:t>
      </w:r>
      <w:r>
        <w:rPr>
          <w:rFonts w:hint="eastAsia"/>
        </w:rPr>
        <w:t>，</w:t>
      </w:r>
      <w:r>
        <w:rPr>
          <w:rFonts w:hint="eastAsia" w:ascii="Times New Roman" w:hAnsi="Times New Roman" w:eastAsia="宋体" w:cs="Times New Roman"/>
          <w:sz w:val="24"/>
          <w:szCs w:val="24"/>
          <w:lang w:val="en-US" w:eastAsia="zh-CN"/>
        </w:rPr>
        <w:t>经现场调查监测</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通过及时清运含油污染物，减少无组织排放，</w:t>
      </w:r>
      <w:r>
        <w:rPr>
          <w:rFonts w:hint="eastAsia" w:ascii="Times New Roman" w:hAnsi="Times New Roman" w:eastAsia="宋体" w:cs="Times New Roman"/>
          <w:sz w:val="24"/>
          <w:szCs w:val="24"/>
          <w:lang w:eastAsia="zh-CN"/>
        </w:rPr>
        <w:t>站场厂界非甲烷总烃能够达到《挥发性有机物排放标准 第7部分：其他行业》（DB37/2801.7-2019）中非甲烷总烃无组织排放监控浓度限值（</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.0mg/m</w:t>
      </w:r>
      <w:r>
        <w:rPr>
          <w:rFonts w:hint="eastAsia" w:ascii="Times New Roman" w:hAnsi="Times New Roman" w:eastAsia="宋体" w:cs="Times New Roman"/>
          <w:sz w:val="24"/>
          <w:szCs w:val="24"/>
          <w:vertAlign w:val="superscript"/>
          <w:lang w:eastAsia="zh-CN"/>
        </w:rPr>
        <w:t>3</w:t>
      </w:r>
      <w:r>
        <w:rPr>
          <w:rFonts w:hint="eastAsia" w:ascii="Times New Roman" w:hAnsi="Times New Roman" w:eastAsia="宋体" w:cs="Times New Roman"/>
          <w:sz w:val="24"/>
          <w:szCs w:val="24"/>
          <w:lang w:eastAsia="zh-CN"/>
        </w:rPr>
        <w:t>）</w:t>
      </w:r>
      <w:r>
        <w:rPr>
          <w:rFonts w:hint="eastAsia"/>
        </w:rPr>
        <w:t>。</w:t>
      </w:r>
    </w:p>
    <w:p>
      <w:pPr>
        <w:pStyle w:val="26"/>
        <w:adjustRightInd w:val="0"/>
        <w:snapToGrid w:val="0"/>
        <w:ind w:firstLine="482" w:firstLineChars="0"/>
        <w:jc w:val="both"/>
        <w:rPr>
          <w:color w:val="000000" w:themeColor="text1"/>
          <w:sz w:val="24"/>
          <w:szCs w:val="24"/>
        </w:rPr>
      </w:pPr>
      <w:r>
        <w:rPr>
          <w:rFonts w:hint="eastAsia"/>
          <w:color w:val="000000" w:themeColor="text1"/>
          <w:sz w:val="24"/>
          <w:szCs w:val="24"/>
        </w:rPr>
        <w:t>（2）施工期钻井废水依托设施</w:t>
      </w:r>
    </w:p>
    <w:p>
      <w:pPr>
        <w:pStyle w:val="21"/>
        <w:spacing w:line="360" w:lineRule="auto"/>
        <w:ind w:firstLine="482" w:firstLineChars="0"/>
        <w:rPr>
          <w:rFonts w:hint="eastAsia"/>
          <w:color w:val="000000" w:themeColor="text1"/>
          <w:kern w:val="2"/>
          <w:lang w:eastAsia="zh-CN"/>
        </w:rPr>
      </w:pPr>
      <w:r>
        <w:rPr>
          <w:rFonts w:hint="eastAsia"/>
          <w:color w:val="000000" w:themeColor="text1"/>
          <w:kern w:val="2"/>
          <w:lang w:val="en-US" w:eastAsia="zh-CN"/>
        </w:rPr>
        <w:t>本</w:t>
      </w:r>
      <w:r>
        <w:rPr>
          <w:rFonts w:hint="eastAsia"/>
          <w:color w:val="000000" w:themeColor="text1"/>
          <w:kern w:val="2"/>
        </w:rPr>
        <w:t>项目</w:t>
      </w:r>
      <w:r>
        <w:rPr>
          <w:rFonts w:hint="eastAsia"/>
          <w:color w:val="000000" w:themeColor="text1"/>
          <w:kern w:val="2"/>
          <w:lang w:val="en-US" w:eastAsia="zh-CN"/>
        </w:rPr>
        <w:t>运营期</w:t>
      </w:r>
      <w:r>
        <w:rPr>
          <w:rFonts w:hint="eastAsia"/>
          <w:color w:val="000000" w:themeColor="text1"/>
          <w:kern w:val="2"/>
        </w:rPr>
        <w:t>产生的水污染物主要是缓存池和缓冲池接收的含油废水</w:t>
      </w:r>
      <w:r>
        <w:rPr>
          <w:rFonts w:hint="eastAsia"/>
          <w:color w:val="000000" w:themeColor="text1"/>
          <w:kern w:val="2"/>
          <w:lang w:eastAsia="zh-CN"/>
        </w:rPr>
        <w:t>。</w:t>
      </w:r>
    </w:p>
    <w:p>
      <w:pPr>
        <w:pStyle w:val="21"/>
        <w:spacing w:line="360" w:lineRule="auto"/>
        <w:ind w:firstLine="482" w:firstLineChars="0"/>
        <w:rPr>
          <w:color w:val="000000" w:themeColor="text1"/>
          <w:kern w:val="2"/>
        </w:rPr>
      </w:pPr>
      <w:r>
        <w:rPr>
          <w:rFonts w:hint="eastAsia"/>
          <w:color w:val="000000" w:themeColor="text1"/>
          <w:kern w:val="2"/>
          <w:lang w:val="en-US" w:eastAsia="zh-CN"/>
        </w:rPr>
        <w:t>经现场调查核实</w:t>
      </w:r>
      <w:r>
        <w:rPr>
          <w:rFonts w:hint="eastAsia"/>
          <w:color w:val="000000" w:themeColor="text1"/>
          <w:kern w:val="2"/>
        </w:rPr>
        <w:t>，</w:t>
      </w:r>
      <w:r>
        <w:rPr>
          <w:rFonts w:hint="eastAsia"/>
          <w:color w:val="000000" w:themeColor="text1"/>
          <w:kern w:val="2"/>
          <w:lang w:val="en-US" w:eastAsia="zh-CN"/>
        </w:rPr>
        <w:t>含油废水</w:t>
      </w:r>
      <w:r>
        <w:rPr>
          <w:rFonts w:hint="eastAsia"/>
          <w:color w:val="000000" w:themeColor="text1"/>
          <w:kern w:val="2"/>
          <w:lang w:eastAsia="zh-CN"/>
        </w:rPr>
        <w:t>输往一次沉降罐进入站内采出液处理流程进一步处理脱水，</w:t>
      </w:r>
      <w:r>
        <w:rPr>
          <w:rFonts w:hint="eastAsia"/>
          <w:color w:val="000000" w:themeColor="text1"/>
          <w:kern w:val="2"/>
          <w:lang w:val="en-US" w:eastAsia="zh-CN"/>
        </w:rPr>
        <w:t>最终</w:t>
      </w:r>
      <w:r>
        <w:rPr>
          <w:rFonts w:hint="eastAsia"/>
          <w:color w:val="000000" w:themeColor="text1"/>
          <w:kern w:val="2"/>
          <w:lang w:eastAsia="zh-CN"/>
        </w:rPr>
        <w:t>经站内污水处理系统处理满足达标后，用于油田注水开发，不外排</w:t>
      </w:r>
      <w:r>
        <w:rPr>
          <w:rFonts w:hint="eastAsia"/>
          <w:color w:val="000000" w:themeColor="text1"/>
          <w:kern w:val="2"/>
        </w:rPr>
        <w:t>。</w:t>
      </w:r>
    </w:p>
    <w:p>
      <w:pPr>
        <w:pStyle w:val="26"/>
        <w:widowControl w:val="0"/>
        <w:adjustRightInd w:val="0"/>
        <w:snapToGrid w:val="0"/>
        <w:ind w:firstLine="482" w:firstLineChars="0"/>
        <w:jc w:val="both"/>
        <w:rPr>
          <w:sz w:val="24"/>
          <w:szCs w:val="24"/>
        </w:rPr>
      </w:pPr>
      <w:r>
        <w:rPr>
          <w:rFonts w:hint="eastAsia"/>
          <w:sz w:val="24"/>
          <w:szCs w:val="24"/>
        </w:rPr>
        <w:t>（3）</w:t>
      </w:r>
      <w:r>
        <w:rPr>
          <w:rFonts w:hint="eastAsia"/>
          <w:sz w:val="24"/>
          <w:szCs w:val="24"/>
          <w:lang w:val="en-US" w:eastAsia="zh-CN"/>
        </w:rPr>
        <w:t>运营期</w:t>
      </w:r>
      <w:r>
        <w:rPr>
          <w:rFonts w:hint="eastAsia"/>
          <w:sz w:val="24"/>
          <w:szCs w:val="24"/>
        </w:rPr>
        <w:t>固体废物处理依托设施</w:t>
      </w:r>
    </w:p>
    <w:p>
      <w:pPr>
        <w:pStyle w:val="21"/>
        <w:spacing w:line="360" w:lineRule="auto"/>
      </w:pPr>
      <w:r>
        <w:rPr>
          <w:rFonts w:hint="eastAsia"/>
          <w:lang w:val="en-US" w:eastAsia="zh-CN"/>
        </w:rPr>
        <w:t>本</w:t>
      </w:r>
      <w:r>
        <w:rPr>
          <w:rFonts w:hint="eastAsia"/>
        </w:rPr>
        <w:t>项目</w:t>
      </w:r>
      <w:r>
        <w:rPr>
          <w:rFonts w:hint="eastAsia"/>
          <w:lang w:val="en-US" w:eastAsia="zh-CN"/>
        </w:rPr>
        <w:t>运营期</w:t>
      </w:r>
      <w:r>
        <w:rPr>
          <w:rFonts w:hint="eastAsia"/>
        </w:rPr>
        <w:t>产生的固体废物主要是缓存池分离出的油泥砂。垦西联合站缓存池分离出的油泥砂拉运至孤五联合站油泥砂暂存池，其它各联合站缓存池分离出的油泥砂清运至各联合站油泥砂暂存池，最终委托</w:t>
      </w:r>
      <w:r>
        <w:rPr>
          <w:rFonts w:hint="eastAsia"/>
          <w:lang w:val="en-US" w:eastAsia="zh-CN"/>
        </w:rPr>
        <w:t>胜利油田金岛实业有限责任公司</w:t>
      </w:r>
      <w:r>
        <w:rPr>
          <w:rFonts w:hint="eastAsia"/>
        </w:rPr>
        <w:t>无害化处理。</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ascii="Times New Roman" w:hAnsi="Times New Roman" w:eastAsia="宋体"/>
          <w:b/>
          <w:bCs/>
          <w:sz w:val="28"/>
          <w:szCs w:val="28"/>
        </w:rPr>
        <w:t>验收过程简况</w:t>
      </w:r>
    </w:p>
    <w:p>
      <w:pPr>
        <w:spacing w:after="0" w:line="360" w:lineRule="auto"/>
        <w:ind w:firstLine="480" w:firstLineChars="200"/>
        <w:jc w:val="both"/>
        <w:rPr>
          <w:rFonts w:ascii="宋体" w:hAnsi="宋体" w:eastAsia="宋体" w:cs="宋体"/>
          <w:color w:val="000000"/>
          <w:sz w:val="24"/>
          <w:szCs w:val="24"/>
        </w:rPr>
      </w:pPr>
      <w:r>
        <w:rPr>
          <w:rFonts w:hint="eastAsia" w:ascii="宋体" w:hAnsi="宋体" w:eastAsia="宋体" w:cs="宋体"/>
          <w:color w:val="000000"/>
          <w:sz w:val="24"/>
          <w:szCs w:val="24"/>
        </w:rPr>
        <w:t>本项目验收过程见表</w:t>
      </w:r>
      <w:r>
        <w:rPr>
          <w:rStyle w:val="17"/>
        </w:rPr>
        <w:t>1</w:t>
      </w:r>
      <w:r>
        <w:rPr>
          <w:rFonts w:ascii="宋体" w:hAnsi="宋体" w:eastAsia="宋体" w:cs="宋体"/>
          <w:color w:val="000000"/>
          <w:sz w:val="24"/>
          <w:szCs w:val="24"/>
        </w:rPr>
        <w:t>。</w:t>
      </w:r>
    </w:p>
    <w:p>
      <w:pPr>
        <w:pStyle w:val="24"/>
        <w:adjustRightInd w:val="0"/>
        <w:snapToGrid w:val="0"/>
        <w:spacing w:beforeLines="0" w:line="360" w:lineRule="auto"/>
        <w:rPr>
          <w:kern w:val="0"/>
        </w:rPr>
      </w:pPr>
      <w:r>
        <w:rPr>
          <w:rFonts w:hint="eastAsia"/>
          <w:kern w:val="0"/>
        </w:rPr>
        <w:t>表1  竣工环境保护验收过程一览表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541"/>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Align w:val="center"/>
          </w:tcPr>
          <w:p>
            <w:pPr>
              <w:pStyle w:val="20"/>
            </w:pPr>
            <w:r>
              <w:t>项目名称</w:t>
            </w:r>
          </w:p>
        </w:tc>
        <w:tc>
          <w:tcPr>
            <w:tcW w:w="1368" w:type="pct"/>
          </w:tcPr>
          <w:p>
            <w:pPr>
              <w:pStyle w:val="20"/>
            </w:pPr>
            <w:r>
              <w:t>程序流程</w:t>
            </w:r>
          </w:p>
        </w:tc>
        <w:tc>
          <w:tcPr>
            <w:tcW w:w="2194" w:type="pct"/>
            <w:vAlign w:val="center"/>
          </w:tcPr>
          <w:p>
            <w:pPr>
              <w:pStyle w:val="20"/>
            </w:pPr>
            <w: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restart"/>
            <w:vAlign w:val="center"/>
          </w:tcPr>
          <w:p>
            <w:pPr>
              <w:pStyle w:val="20"/>
            </w:pPr>
            <w:r>
              <w:rPr>
                <w:rFonts w:hint="eastAsia"/>
              </w:rPr>
              <w:t>集输系统缓冲池改造工程</w:t>
            </w:r>
          </w:p>
        </w:tc>
        <w:tc>
          <w:tcPr>
            <w:tcW w:w="1368" w:type="pct"/>
          </w:tcPr>
          <w:p>
            <w:pPr>
              <w:pStyle w:val="20"/>
              <w:rPr>
                <w:rFonts w:ascii="Times New Roman" w:hAnsi="Times New Roman"/>
              </w:rPr>
            </w:pPr>
            <w:r>
              <w:rPr>
                <w:rFonts w:ascii="Times New Roman" w:hAnsi="Times New Roman"/>
              </w:rPr>
              <w:t>竣工时间</w:t>
            </w:r>
          </w:p>
        </w:tc>
        <w:tc>
          <w:tcPr>
            <w:tcW w:w="2194" w:type="pct"/>
            <w:vAlign w:val="center"/>
          </w:tcPr>
          <w:p>
            <w:pPr>
              <w:pStyle w:val="20"/>
              <w:rPr>
                <w:rFonts w:ascii="Times New Roman" w:hAnsi="Times New Roma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3</w:t>
            </w:r>
            <w:r>
              <w:rPr>
                <w:rFonts w:ascii="Times New Roman" w:hAnsi="Times New Roman"/>
              </w:rPr>
              <w:t>月</w:t>
            </w:r>
            <w:r>
              <w:rPr>
                <w:rFonts w:hint="eastAsia" w:ascii="Times New Roman" w:hAnsi="Times New Roman"/>
                <w:lang w:val="en-US" w:eastAsia="zh-CN"/>
              </w:rPr>
              <w:t>15</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委托时间</w:t>
            </w:r>
          </w:p>
        </w:tc>
        <w:tc>
          <w:tcPr>
            <w:tcW w:w="2194" w:type="pct"/>
            <w:vAlign w:val="center"/>
          </w:tcPr>
          <w:p>
            <w:pPr>
              <w:pStyle w:val="20"/>
              <w:rPr>
                <w:rFonts w:hint="default" w:ascii="Times New Roman" w:hAnsi="Times New Roman" w:eastAsia="宋体"/>
                <w:lang w:val="en-US" w:eastAsia="zh-C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3</w:t>
            </w:r>
            <w:r>
              <w:rPr>
                <w:rFonts w:ascii="Times New Roman" w:hAnsi="Times New Roman"/>
              </w:rPr>
              <w:t>月</w:t>
            </w:r>
            <w:r>
              <w:rPr>
                <w:rFonts w:hint="eastAsia" w:ascii="Times New Roman" w:hAnsi="Times New Roman"/>
                <w:lang w:val="en-US" w:eastAsia="zh-CN"/>
              </w:rPr>
              <w:t>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调试时间</w:t>
            </w:r>
          </w:p>
        </w:tc>
        <w:tc>
          <w:tcPr>
            <w:tcW w:w="2194" w:type="pct"/>
            <w:vAlign w:val="center"/>
          </w:tcPr>
          <w:p>
            <w:pPr>
              <w:pStyle w:val="20"/>
              <w:rPr>
                <w:rFonts w:ascii="Times New Roman" w:hAnsi="Times New Roman"/>
              </w:rPr>
            </w:pPr>
            <w:r>
              <w:rPr>
                <w:rFonts w:ascii="Times New Roman" w:hAnsi="Times New Roman"/>
                <w:szCs w:val="24"/>
              </w:rPr>
              <w:t>20</w:t>
            </w:r>
            <w:r>
              <w:rPr>
                <w:rFonts w:hint="eastAsia" w:ascii="Times New Roman" w:hAnsi="Times New Roman"/>
                <w:szCs w:val="24"/>
                <w:lang w:val="en-US" w:eastAsia="zh-CN"/>
              </w:rPr>
              <w:t>20</w:t>
            </w:r>
            <w:r>
              <w:rPr>
                <w:rFonts w:ascii="Times New Roman" w:hAnsi="Times New Roman"/>
                <w:szCs w:val="24"/>
              </w:rPr>
              <w:t>年</w:t>
            </w:r>
            <w:r>
              <w:rPr>
                <w:rFonts w:hint="eastAsia" w:ascii="Times New Roman" w:hAnsi="Times New Roman"/>
                <w:szCs w:val="24"/>
                <w:lang w:val="en-US" w:eastAsia="zh-CN"/>
              </w:rPr>
              <w:t>3</w:t>
            </w:r>
            <w:r>
              <w:rPr>
                <w:rFonts w:ascii="Times New Roman" w:hAnsi="Times New Roman"/>
                <w:szCs w:val="24"/>
              </w:rPr>
              <w:t>月——2020年</w:t>
            </w:r>
            <w:r>
              <w:rPr>
                <w:rFonts w:hint="eastAsia" w:ascii="Times New Roman" w:hAnsi="Times New Roman"/>
                <w:szCs w:val="24"/>
                <w:lang w:val="en-US" w:eastAsia="zh-CN"/>
              </w:rPr>
              <w:t>9</w:t>
            </w:r>
            <w:r>
              <w:rPr>
                <w:rFonts w:ascii="Times New Roman" w:hAnsi="Times New Roman"/>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vAlign w:val="center"/>
          </w:tcPr>
          <w:p>
            <w:pPr>
              <w:pStyle w:val="20"/>
              <w:rPr>
                <w:rFonts w:ascii="Times New Roman" w:hAnsi="Times New Roman"/>
              </w:rPr>
            </w:pPr>
            <w:r>
              <w:rPr>
                <w:rFonts w:ascii="Times New Roman" w:hAnsi="Times New Roman"/>
              </w:rPr>
              <w:t>检测时间</w:t>
            </w:r>
          </w:p>
        </w:tc>
        <w:tc>
          <w:tcPr>
            <w:tcW w:w="2194" w:type="pct"/>
            <w:vAlign w:val="center"/>
          </w:tcPr>
          <w:p>
            <w:pPr>
              <w:pStyle w:val="20"/>
              <w:rPr>
                <w:rFonts w:ascii="Times New Roman" w:hAnsi="Times New Roma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6</w:t>
            </w:r>
            <w:r>
              <w:rPr>
                <w:rFonts w:ascii="Times New Roman" w:hAnsi="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自主验收时间</w:t>
            </w:r>
          </w:p>
        </w:tc>
        <w:tc>
          <w:tcPr>
            <w:tcW w:w="2194" w:type="pct"/>
            <w:vAlign w:val="center"/>
          </w:tcPr>
          <w:p>
            <w:pPr>
              <w:pStyle w:val="20"/>
              <w:rPr>
                <w:rFonts w:ascii="Times New Roman" w:hAnsi="Times New Roman"/>
              </w:rPr>
            </w:pPr>
            <w:r>
              <w:rPr>
                <w:rFonts w:ascii="Times New Roman" w:hAnsi="Times New Roman"/>
              </w:rPr>
              <w:t>2020年</w:t>
            </w:r>
            <w:r>
              <w:rPr>
                <w:rFonts w:hint="eastAsia" w:ascii="Times New Roman" w:hAnsi="Times New Roman"/>
                <w:lang w:val="en-US" w:eastAsia="zh-CN"/>
              </w:rPr>
              <w:t>8</w:t>
            </w:r>
            <w:r>
              <w:rPr>
                <w:rFonts w:ascii="Times New Roman" w:hAnsi="Times New Roman"/>
              </w:rPr>
              <w:t>月</w:t>
            </w:r>
            <w:r>
              <w:rPr>
                <w:rFonts w:hint="eastAsia" w:ascii="Times New Roman" w:hAnsi="Times New Roman"/>
                <w:lang w:val="en-US" w:eastAsia="zh-CN"/>
              </w:rPr>
              <w:t>21</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验收报告公示时间</w:t>
            </w:r>
          </w:p>
        </w:tc>
        <w:tc>
          <w:tcPr>
            <w:tcW w:w="2194" w:type="pct"/>
            <w:vAlign w:val="center"/>
          </w:tcPr>
          <w:p>
            <w:pPr>
              <w:pStyle w:val="20"/>
              <w:rPr>
                <w:rFonts w:ascii="Times New Roman" w:hAnsi="Times New Roman"/>
              </w:rPr>
            </w:pPr>
            <w:r>
              <w:rPr>
                <w:rFonts w:ascii="Times New Roman" w:hAnsi="Times New Roman"/>
              </w:rPr>
              <w:t>2020年</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1</w:t>
            </w:r>
            <w:r>
              <w:rPr>
                <w:rFonts w:ascii="Times New Roman" w:hAnsi="Times New Roman"/>
              </w:rPr>
              <w:t>日—</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30</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20"/>
            </w:pPr>
          </w:p>
        </w:tc>
        <w:tc>
          <w:tcPr>
            <w:tcW w:w="1368" w:type="pct"/>
          </w:tcPr>
          <w:p>
            <w:pPr>
              <w:pStyle w:val="20"/>
              <w:rPr>
                <w:rFonts w:ascii="Times New Roman" w:hAnsi="Times New Roman"/>
              </w:rPr>
            </w:pPr>
            <w:r>
              <w:rPr>
                <w:rFonts w:ascii="Times New Roman" w:hAnsi="Times New Roman"/>
              </w:rPr>
              <w:t>全国网公示时间</w:t>
            </w:r>
          </w:p>
        </w:tc>
        <w:tc>
          <w:tcPr>
            <w:tcW w:w="2194" w:type="pct"/>
            <w:vAlign w:val="center"/>
          </w:tcPr>
          <w:p>
            <w:pPr>
              <w:pStyle w:val="20"/>
              <w:rPr>
                <w:rFonts w:hint="default" w:ascii="Times New Roman" w:hAnsi="Times New Roman" w:eastAsia="宋体"/>
                <w:lang w:val="en-US" w:eastAsia="zh-CN"/>
              </w:rPr>
            </w:pPr>
          </w:p>
        </w:tc>
      </w:tr>
    </w:tbl>
    <w:p>
      <w:pPr>
        <w:spacing w:after="0" w:line="360" w:lineRule="auto"/>
        <w:ind w:firstLine="482"/>
        <w:jc w:val="both"/>
        <w:rPr>
          <w:rFonts w:ascii="Times New Roman" w:hAnsi="Times New Roman" w:eastAsia="宋体"/>
          <w:b/>
          <w:bCs/>
          <w:sz w:val="21"/>
          <w:szCs w:val="21"/>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2其他环境保护措施的落实情况</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2.1制度措施落实情况</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2.1.1 环保组织机构</w:t>
      </w:r>
    </w:p>
    <w:p>
      <w:pPr>
        <w:pStyle w:val="21"/>
        <w:spacing w:line="360" w:lineRule="auto"/>
      </w:pPr>
      <w:r>
        <w:rPr>
          <w:rFonts w:hint="eastAsia"/>
        </w:rPr>
        <w:t>建设单位QHS</w:t>
      </w:r>
      <w:r>
        <w:t>S</w:t>
      </w:r>
      <w:r>
        <w:rPr>
          <w:rFonts w:hint="eastAsia"/>
        </w:rPr>
        <w:t>E管理</w:t>
      </w:r>
      <w:r>
        <w:rPr>
          <w:rFonts w:hint="eastAsia"/>
          <w:lang w:val="en-US" w:eastAsia="zh-CN"/>
        </w:rPr>
        <w:t>部</w:t>
      </w:r>
      <w:r>
        <w:rPr>
          <w:rFonts w:hint="eastAsia"/>
        </w:rPr>
        <w:t>负责全公司环保专业技术综合管理，机关各业务部门按各自环保管理职责负责分管业务范围内的环保管理。采油厂所属各单位、直属单位按采油厂环保管理实施细则负责本单位环保管理。</w:t>
      </w:r>
    </w:p>
    <w:p>
      <w:pPr>
        <w:pStyle w:val="21"/>
        <w:spacing w:line="360" w:lineRule="auto"/>
      </w:pPr>
      <w:r>
        <w:rPr>
          <w:rFonts w:hint="eastAsia"/>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书提出环保措施的实施。</w:t>
      </w:r>
    </w:p>
    <w:p>
      <w:pPr>
        <w:pStyle w:val="21"/>
        <w:spacing w:line="360" w:lineRule="auto"/>
      </w:pPr>
      <w:r>
        <w:rPr>
          <w:rFonts w:hint="eastAsia"/>
        </w:rPr>
        <w:t>在生产运营期，由建设单位QHS</w:t>
      </w:r>
      <w:r>
        <w:t>S</w:t>
      </w:r>
      <w:r>
        <w:rPr>
          <w:rFonts w:hint="eastAsia"/>
        </w:rPr>
        <w:t>E管理</w:t>
      </w:r>
      <w:r>
        <w:rPr>
          <w:rFonts w:hint="eastAsia"/>
          <w:lang w:val="en-US" w:eastAsia="zh-CN"/>
        </w:rPr>
        <w:t>部</w:t>
      </w:r>
      <w:r>
        <w:rPr>
          <w:rFonts w:hint="eastAsia"/>
        </w:rPr>
        <w:t>统一负责本项目的环保管理工作，在</w:t>
      </w:r>
      <w:r>
        <w:rPr>
          <w:rFonts w:hint="eastAsia"/>
          <w:lang w:val="en-US" w:eastAsia="zh-CN"/>
        </w:rPr>
        <w:t>管理区</w:t>
      </w:r>
      <w:r>
        <w:rPr>
          <w:rFonts w:hint="eastAsia"/>
        </w:rPr>
        <w:t>内设置专职环保员，负责环保文件和技术资料的归档，协助进行环保工程的验收，负责运营期间的环境监测、事故防范和外部协调工作。</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w:t>
      </w: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环境风险防范措施</w:t>
      </w:r>
    </w:p>
    <w:p>
      <w:pPr>
        <w:spacing w:after="0" w:line="360" w:lineRule="auto"/>
        <w:ind w:firstLine="480" w:firstLineChars="200"/>
        <w:rPr>
          <w:rFonts w:hint="default" w:ascii="宋体" w:hAnsi="宋体" w:eastAsia="宋体" w:cs="宋体"/>
          <w:bCs/>
          <w:sz w:val="24"/>
          <w:szCs w:val="24"/>
        </w:rPr>
      </w:pPr>
      <w:r>
        <w:rPr>
          <w:rFonts w:hint="default" w:ascii="宋体" w:hAnsi="宋体" w:eastAsia="宋体" w:cs="宋体"/>
          <w:bCs/>
          <w:sz w:val="24"/>
          <w:szCs w:val="24"/>
        </w:rPr>
        <w:t>本项目最大可信事故为收油罐原油泄漏事故，事故发生概率较低，环境影响可控。</w:t>
      </w:r>
    </w:p>
    <w:p>
      <w:pPr>
        <w:spacing w:after="0" w:line="360" w:lineRule="auto"/>
        <w:ind w:firstLine="480" w:firstLineChars="200"/>
        <w:rPr>
          <w:rFonts w:hint="default" w:ascii="宋体" w:hAnsi="宋体" w:eastAsia="宋体" w:cs="宋体"/>
          <w:bCs/>
          <w:sz w:val="24"/>
          <w:szCs w:val="24"/>
        </w:rPr>
      </w:pPr>
      <w:r>
        <w:rPr>
          <w:rFonts w:hint="default" w:ascii="宋体" w:hAnsi="宋体" w:eastAsia="宋体" w:cs="宋体"/>
          <w:bCs/>
          <w:sz w:val="24"/>
          <w:szCs w:val="24"/>
        </w:rPr>
        <w:t>本项目针对上述事故状态采取的风险防范措施如下：</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1、严格执行国家的环保标准规范及相关的法律法规。</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2、制定环保生产方针、政策、计划和各种规范，完善安全管理制度和安全操作规程，建立健全环境管理体系和监测体系，完善各种规章、制度和标准。</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3、对施工单位及人员定期进行环保、安全教育，增强职工的环保意识和安全意识。</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4、在施工、选材等环节严守质量关，加强技术工人的培训，提高操作水平。</w:t>
      </w:r>
    </w:p>
    <w:p>
      <w:pPr>
        <w:spacing w:after="0" w:line="360" w:lineRule="auto"/>
        <w:ind w:firstLine="480" w:firstLineChars="200"/>
        <w:rPr>
          <w:rFonts w:hint="default" w:ascii="宋体" w:hAnsi="宋体" w:eastAsia="宋体" w:cs="宋体"/>
          <w:bCs/>
          <w:sz w:val="24"/>
          <w:szCs w:val="24"/>
          <w:lang w:val="zh-CN"/>
        </w:rPr>
      </w:pPr>
      <w:r>
        <w:rPr>
          <w:rFonts w:hint="default" w:ascii="宋体" w:hAnsi="宋体" w:eastAsia="宋体" w:cs="宋体"/>
          <w:bCs/>
          <w:sz w:val="24"/>
          <w:szCs w:val="24"/>
          <w:lang w:val="zh-CN"/>
        </w:rPr>
        <w:t>5、研究各种事故，总结经验，充分吸取教训，并注意在技术措施上的改进和防范，尽可能减少人为的繁琐操作过程。</w:t>
      </w:r>
    </w:p>
    <w:p>
      <w:pPr>
        <w:spacing w:after="0" w:line="360" w:lineRule="auto"/>
        <w:ind w:firstLine="480" w:firstLineChars="200"/>
        <w:rPr>
          <w:rFonts w:ascii="宋体" w:hAnsi="宋体" w:eastAsia="宋体" w:cs="宋体"/>
          <w:bCs/>
          <w:sz w:val="24"/>
          <w:szCs w:val="24"/>
        </w:rPr>
      </w:pPr>
      <w:r>
        <w:rPr>
          <w:rFonts w:hint="default" w:ascii="宋体" w:hAnsi="宋体" w:eastAsia="宋体" w:cs="宋体"/>
          <w:bCs/>
          <w:sz w:val="24"/>
          <w:szCs w:val="24"/>
        </w:rPr>
        <w:t>经调查，本项目目前尚未发生收油罐原油泄漏的事故</w:t>
      </w:r>
      <w:r>
        <w:rPr>
          <w:rFonts w:hint="default" w:ascii="宋体" w:hAnsi="宋体" w:eastAsia="宋体" w:cs="宋体"/>
          <w:bCs/>
          <w:sz w:val="24"/>
          <w:szCs w:val="24"/>
          <w:lang w:eastAsia="zh-CN"/>
        </w:rPr>
        <w:t>。</w:t>
      </w:r>
      <w:bookmarkStart w:id="0" w:name="_GoBack"/>
      <w:bookmarkEnd w:id="0"/>
    </w:p>
    <w:p>
      <w:pPr>
        <w:spacing w:after="0" w:line="360" w:lineRule="auto"/>
        <w:ind w:firstLine="482"/>
        <w:jc w:val="both"/>
        <w:rPr>
          <w:rFonts w:ascii="Times New Roman" w:hAnsi="Times New Roman" w:eastAsia="宋体"/>
          <w:b/>
          <w:bCs/>
          <w:sz w:val="24"/>
          <w:szCs w:val="24"/>
        </w:rPr>
      </w:pPr>
      <w:r>
        <w:rPr>
          <w:rFonts w:hint="eastAsia" w:ascii="Times New Roman" w:hAnsi="Times New Roman" w:eastAsia="宋体"/>
          <w:b/>
          <w:bCs/>
          <w:sz w:val="24"/>
          <w:szCs w:val="24"/>
        </w:rPr>
        <w:t>2.1.3</w:t>
      </w:r>
      <w:r>
        <w:rPr>
          <w:rFonts w:ascii="Times New Roman" w:hAnsi="Times New Roman" w:eastAsia="宋体"/>
          <w:b/>
          <w:bCs/>
          <w:sz w:val="24"/>
          <w:szCs w:val="24"/>
        </w:rPr>
        <w:t>环境监测计划</w:t>
      </w:r>
    </w:p>
    <w:p>
      <w:pPr>
        <w:pStyle w:val="21"/>
        <w:spacing w:line="360" w:lineRule="auto"/>
      </w:pPr>
      <w:r>
        <w:rPr>
          <w:rFonts w:hint="eastAsia"/>
        </w:rPr>
        <w:t>本项目已经按环评文件要求制定环境监测计划，目前，企业刚通过竣工环保验收，工作时间较短，尚未进行环境监测。</w:t>
      </w:r>
    </w:p>
    <w:p>
      <w:pPr>
        <w:pStyle w:val="21"/>
        <w:spacing w:line="360" w:lineRule="auto"/>
      </w:pPr>
      <w:r>
        <w:t>通过现场调查发现，</w:t>
      </w:r>
      <w:r>
        <w:rPr>
          <w:rFonts w:hint="eastAsia"/>
          <w:lang w:val="en-US" w:eastAsia="zh-CN"/>
        </w:rPr>
        <w:t>孤岛</w:t>
      </w:r>
      <w:r>
        <w:rPr>
          <w:rFonts w:hint="eastAsia"/>
        </w:rPr>
        <w:t>采油厂</w:t>
      </w:r>
      <w:r>
        <w:t>及其下属各施工单位和运营单位对环境保护工作比较重视，在施工期及运营期建立了HSE管理体系。</w:t>
      </w:r>
    </w:p>
    <w:p>
      <w:pPr>
        <w:pStyle w:val="21"/>
        <w:spacing w:line="360" w:lineRule="auto"/>
      </w:pPr>
      <w:r>
        <w:t>从现场调查和监测资料查阅来看，</w:t>
      </w:r>
      <w:r>
        <w:rPr>
          <w:rFonts w:hint="eastAsia"/>
          <w:lang w:val="en-US" w:eastAsia="zh-CN"/>
        </w:rPr>
        <w:t>孤岛</w:t>
      </w:r>
      <w:r>
        <w:rPr>
          <w:rFonts w:hint="eastAsia"/>
        </w:rPr>
        <w:t>采油厂</w:t>
      </w:r>
      <w:r>
        <w:t>按照</w:t>
      </w:r>
      <w:r>
        <w:rPr>
          <w:color w:val="000000" w:themeColor="text1"/>
        </w:rPr>
        <w:t>胜利油田QHSSE委员会</w:t>
      </w:r>
      <w:r>
        <w:t>的监测计划，对废气、固体废物处置、噪声进行了现场监测。</w:t>
      </w:r>
    </w:p>
    <w:p>
      <w:pPr>
        <w:pStyle w:val="21"/>
        <w:spacing w:line="360" w:lineRule="auto"/>
        <w:rPr>
          <w:snapToGrid w:val="0"/>
          <w:kern w:val="2"/>
        </w:rPr>
      </w:pPr>
      <w:r>
        <w:rPr>
          <w:rFonts w:hint="eastAsia"/>
        </w:rPr>
        <w:t>建设单位对污染源、污染治理设施运行效果制定了详细的环境监测计划，对于不具备监测能力的委托有资质单位进行。</w:t>
      </w:r>
    </w:p>
    <w:p>
      <w:pPr>
        <w:adjustRightInd/>
        <w:snapToGrid/>
        <w:spacing w:before="260" w:after="260" w:line="415" w:lineRule="auto"/>
        <w:jc w:val="both"/>
        <w:rPr>
          <w:rFonts w:ascii="宋体" w:hAnsi="宋体" w:eastAsia="宋体"/>
          <w:bCs/>
          <w:kern w:val="2"/>
          <w:sz w:val="24"/>
          <w:szCs w:val="24"/>
        </w:rPr>
      </w:pPr>
      <w:r>
        <w:rPr>
          <w:sz w:val="24"/>
          <w:szCs w:val="24"/>
        </w:rPr>
        <w:br w:type="page"/>
      </w:r>
    </w:p>
    <w:p>
      <w:pPr>
        <w:spacing w:after="0" w:line="360" w:lineRule="auto"/>
        <w:ind w:firstLine="482"/>
        <w:jc w:val="both"/>
        <w:rPr>
          <w:rFonts w:ascii="Times New Roman" w:hAnsi="Times New Roman" w:eastAsia="宋体"/>
          <w:b/>
          <w:bCs/>
          <w:sz w:val="24"/>
          <w:szCs w:val="24"/>
        </w:rPr>
      </w:pPr>
      <w:r>
        <w:rPr>
          <w:rFonts w:hint="eastAsia" w:ascii="Times New Roman" w:hAnsi="Times New Roman" w:eastAsia="宋体"/>
          <w:b/>
          <w:bCs/>
          <w:sz w:val="24"/>
          <w:szCs w:val="24"/>
        </w:rPr>
        <w:t>2.1.4关于“环评批复中提出的其他要求”落实情况</w:t>
      </w:r>
    </w:p>
    <w:p>
      <w:pPr>
        <w:pStyle w:val="21"/>
        <w:spacing w:line="360" w:lineRule="auto"/>
      </w:pPr>
      <w:r>
        <w:rPr>
          <w:rFonts w:hint="eastAsia"/>
        </w:rPr>
        <w:t>“环评批复中提出的其它要求”落实情况见表3。</w:t>
      </w:r>
    </w:p>
    <w:p>
      <w:pPr>
        <w:pStyle w:val="24"/>
        <w:adjustRightInd w:val="0"/>
        <w:snapToGrid w:val="0"/>
        <w:spacing w:beforeLines="0" w:line="360" w:lineRule="auto"/>
        <w:rPr>
          <w:kern w:val="0"/>
          <w:sz w:val="24"/>
          <w:szCs w:val="24"/>
        </w:rPr>
      </w:pPr>
      <w:r>
        <w:rPr>
          <w:rFonts w:hint="eastAsia"/>
          <w:kern w:val="0"/>
          <w:sz w:val="24"/>
          <w:szCs w:val="24"/>
        </w:rPr>
        <w:t xml:space="preserve">表3  环评批复中提出的其它要求落实情况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636"/>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tcPr>
          <w:p>
            <w:pPr>
              <w:pStyle w:val="20"/>
              <w:rPr>
                <w:snapToGrid w:val="0"/>
              </w:rPr>
            </w:pPr>
            <w:r>
              <w:rPr>
                <w:rFonts w:hint="eastAsia"/>
                <w:snapToGrid w:val="0"/>
              </w:rPr>
              <w:t>序号</w:t>
            </w:r>
          </w:p>
        </w:tc>
        <w:tc>
          <w:tcPr>
            <w:tcW w:w="2496" w:type="pct"/>
            <w:vAlign w:val="center"/>
          </w:tcPr>
          <w:p>
            <w:pPr>
              <w:pStyle w:val="20"/>
              <w:rPr>
                <w:snapToGrid w:val="0"/>
              </w:rPr>
            </w:pPr>
            <w:r>
              <w:rPr>
                <w:rFonts w:hint="eastAsia"/>
                <w:snapToGrid w:val="0"/>
              </w:rPr>
              <w:t>环评批复中提出要求</w:t>
            </w:r>
          </w:p>
        </w:tc>
        <w:tc>
          <w:tcPr>
            <w:tcW w:w="2025" w:type="pct"/>
            <w:vAlign w:val="center"/>
          </w:tcPr>
          <w:p>
            <w:pPr>
              <w:pStyle w:val="20"/>
              <w:rPr>
                <w:snapToGrid w:val="0"/>
              </w:rPr>
            </w:pPr>
            <w:r>
              <w:rPr>
                <w:rFonts w:hint="eastAsia"/>
                <w:snapToGrid w:val="0"/>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pPr>
              <w:pStyle w:val="20"/>
              <w:rPr>
                <w:rFonts w:hAnsi="Times New Roman"/>
              </w:rPr>
            </w:pPr>
            <w:r>
              <w:rPr>
                <w:rFonts w:hint="eastAsia" w:hAnsi="Times New Roman"/>
              </w:rPr>
              <w:t>1</w:t>
            </w:r>
          </w:p>
        </w:tc>
        <w:tc>
          <w:tcPr>
            <w:tcW w:w="2496" w:type="pct"/>
            <w:vAlign w:val="center"/>
          </w:tcPr>
          <w:p>
            <w:pPr>
              <w:pStyle w:val="20"/>
              <w:jc w:val="both"/>
              <w:rPr>
                <w:rFonts w:ascii="Times New Roman" w:hAnsi="Times New Roman"/>
              </w:rPr>
            </w:pPr>
            <w:r>
              <w:rPr>
                <w:rFonts w:hint="default" w:ascii="Times New Roman" w:hAnsi="Times New Roman"/>
                <w:lang w:val="en-US" w:eastAsia="zh-CN"/>
              </w:rPr>
              <w:t>建设项目必须严格执行环境保护设施与主体工程同时设计、同时 施工、同时投产使用的环境保护“三同时”制度。项目建成后，按照规定 程序进行竣工环境保护验收，经验收合格后，项目方可正式投入运行。若 项目发生变化，按照有关规定属于重大变动的，应按照法律法规的规定，重新报批环评文件。</w:t>
            </w:r>
          </w:p>
        </w:tc>
        <w:tc>
          <w:tcPr>
            <w:tcW w:w="2025" w:type="pct"/>
            <w:vAlign w:val="center"/>
          </w:tcPr>
          <w:p>
            <w:pPr>
              <w:widowControl w:val="0"/>
              <w:autoSpaceDE w:val="0"/>
              <w:autoSpaceDN w:val="0"/>
              <w:spacing w:after="0"/>
              <w:jc w:val="both"/>
              <w:rPr>
                <w:rFonts w:hint="default" w:ascii="Times New Roman" w:hAnsi="Times New Roman"/>
                <w:snapToGrid w:val="0"/>
                <w:lang w:val="en-US"/>
              </w:rPr>
            </w:pPr>
            <w:r>
              <w:rPr>
                <w:rFonts w:hint="eastAsia" w:ascii="Times New Roman" w:hAnsi="Times New Roman" w:eastAsia="宋体" w:cs="Times New Roman"/>
                <w:kern w:val="2"/>
                <w:sz w:val="21"/>
                <w:szCs w:val="21"/>
                <w:lang w:val="en-US" w:eastAsia="zh-CN" w:bidi="ar-SA"/>
              </w:rPr>
              <w:t>经调查建设单位能够严格执行环境保护设施与主体工程同时设计、同时 施工、同时投产使用的环境保护“三同时”制度，按照规定 程序进行竣工环境保护验收，无重大变更。</w:t>
            </w:r>
          </w:p>
        </w:tc>
      </w:tr>
    </w:tbl>
    <w:p>
      <w:pPr>
        <w:pStyle w:val="21"/>
        <w:rPr>
          <w:snapToGrid w:val="0"/>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3整改工作情况</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3.1报告表中提出的原有工程整改情况</w:t>
      </w:r>
    </w:p>
    <w:p>
      <w:pPr>
        <w:pStyle w:val="21"/>
        <w:spacing w:line="360" w:lineRule="auto"/>
      </w:pPr>
      <w:r>
        <w:rPr>
          <w:rFonts w:hint="eastAsia"/>
          <w:snapToGrid w:val="0"/>
        </w:rPr>
        <w:t>本项目为新建项目，不存在原有工程的整改情况</w:t>
      </w:r>
      <w:r>
        <w:rPr>
          <w:rFonts w:hint="eastAsia"/>
        </w:rPr>
        <w:t>。</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3.2建设项目竣工环境保护验收意见整改情况</w:t>
      </w:r>
    </w:p>
    <w:p>
      <w:pPr>
        <w:widowControl w:val="0"/>
        <w:adjustRightInd/>
        <w:snapToGrid/>
        <w:spacing w:after="120"/>
        <w:ind w:firstLine="480" w:firstLineChars="200"/>
        <w:jc w:val="both"/>
        <w:rPr>
          <w:rFonts w:ascii="黑体" w:hAnsi="黑体" w:eastAsia="黑体"/>
          <w:bCs/>
          <w:color w:val="000000"/>
          <w:kern w:val="2"/>
          <w:sz w:val="24"/>
          <w:szCs w:val="24"/>
        </w:rPr>
      </w:pPr>
      <w:r>
        <w:rPr>
          <w:rFonts w:hint="eastAsia" w:ascii="黑体" w:hAnsi="黑体" w:eastAsia="黑体"/>
          <w:bCs/>
          <w:color w:val="000000"/>
          <w:kern w:val="2"/>
          <w:sz w:val="24"/>
          <w:szCs w:val="24"/>
        </w:rPr>
        <w:t>整改意见1：</w:t>
      </w:r>
      <w:r>
        <w:rPr>
          <w:rFonts w:hint="eastAsia" w:ascii="黑体" w:hAnsi="黑体" w:eastAsia="黑体"/>
          <w:bCs/>
          <w:color w:val="000000"/>
          <w:kern w:val="2"/>
          <w:sz w:val="24"/>
          <w:szCs w:val="24"/>
          <w:lang w:val="en-US" w:eastAsia="zh-CN"/>
        </w:rPr>
        <w:t>完善应急物资台账，演练图片</w:t>
      </w:r>
      <w:r>
        <w:rPr>
          <w:rFonts w:hint="eastAsia" w:ascii="黑体" w:hAnsi="黑体" w:eastAsia="黑体"/>
          <w:bCs/>
          <w:color w:val="000000"/>
          <w:kern w:val="2"/>
          <w:sz w:val="24"/>
          <w:szCs w:val="24"/>
        </w:rPr>
        <w:t>。</w:t>
      </w:r>
    </w:p>
    <w:p>
      <w:pPr>
        <w:widowControl w:val="0"/>
        <w:adjustRightInd/>
        <w:snapToGrid/>
        <w:spacing w:after="120"/>
        <w:ind w:firstLine="480" w:firstLineChars="200"/>
        <w:jc w:val="both"/>
        <w:rPr>
          <w:rFonts w:ascii="宋体" w:hAnsi="宋体" w:eastAsia="宋体"/>
          <w:bCs/>
          <w:color w:val="000000"/>
          <w:kern w:val="2"/>
          <w:sz w:val="24"/>
          <w:szCs w:val="24"/>
        </w:rPr>
      </w:pPr>
      <w:r>
        <w:rPr>
          <w:rFonts w:hint="eastAsia" w:ascii="宋体" w:hAnsi="宋体" w:eastAsia="宋体"/>
          <w:bCs/>
          <w:color w:val="000000"/>
          <w:kern w:val="2"/>
          <w:sz w:val="24"/>
          <w:szCs w:val="24"/>
          <w:lang w:val="en-US" w:eastAsia="zh-CN"/>
        </w:rPr>
        <w:t>整改说明：根据项目情况，完善了应急物资清单，见报告表3-3</w:t>
      </w:r>
      <w:r>
        <w:rPr>
          <w:rFonts w:hint="eastAsia" w:ascii="宋体" w:hAnsi="宋体" w:eastAsia="宋体"/>
          <w:bCs/>
          <w:color w:val="000000"/>
          <w:kern w:val="2"/>
          <w:sz w:val="24"/>
          <w:szCs w:val="24"/>
        </w:rPr>
        <w:t>。</w:t>
      </w:r>
    </w:p>
    <w:p>
      <w:pPr>
        <w:widowControl w:val="0"/>
        <w:adjustRightInd/>
        <w:snapToGrid/>
        <w:spacing w:after="120"/>
        <w:ind w:firstLine="480" w:firstLineChars="200"/>
        <w:jc w:val="both"/>
        <w:rPr>
          <w:rFonts w:ascii="黑体" w:hAnsi="黑体" w:eastAsia="黑体"/>
          <w:bCs/>
          <w:color w:val="000000"/>
          <w:kern w:val="2"/>
          <w:sz w:val="24"/>
          <w:szCs w:val="24"/>
        </w:rPr>
      </w:pPr>
      <w:r>
        <w:rPr>
          <w:rFonts w:hint="eastAsia" w:ascii="黑体" w:hAnsi="黑体" w:eastAsia="黑体"/>
          <w:bCs/>
          <w:color w:val="000000"/>
          <w:kern w:val="2"/>
          <w:sz w:val="24"/>
          <w:szCs w:val="24"/>
        </w:rPr>
        <w:t>整改意见</w:t>
      </w:r>
      <w:r>
        <w:rPr>
          <w:rFonts w:hint="eastAsia" w:ascii="黑体" w:hAnsi="黑体" w:eastAsia="黑体"/>
          <w:bCs/>
          <w:color w:val="000000"/>
          <w:kern w:val="2"/>
          <w:sz w:val="24"/>
          <w:szCs w:val="24"/>
          <w:lang w:val="en-US" w:eastAsia="zh-CN"/>
        </w:rPr>
        <w:t>2</w:t>
      </w:r>
      <w:r>
        <w:rPr>
          <w:rFonts w:hint="eastAsia" w:ascii="黑体" w:hAnsi="黑体" w:eastAsia="黑体"/>
          <w:bCs/>
          <w:color w:val="000000"/>
          <w:kern w:val="2"/>
          <w:sz w:val="24"/>
          <w:szCs w:val="24"/>
        </w:rPr>
        <w:t>：</w:t>
      </w:r>
      <w:r>
        <w:rPr>
          <w:rFonts w:hint="eastAsia" w:ascii="黑体" w:hAnsi="黑体" w:eastAsia="黑体"/>
          <w:bCs/>
          <w:color w:val="000000"/>
          <w:kern w:val="2"/>
          <w:sz w:val="24"/>
          <w:szCs w:val="24"/>
          <w:lang w:val="en-US" w:eastAsia="zh-CN"/>
        </w:rPr>
        <w:t>补充管道的平面布置图及现场标识照片</w:t>
      </w:r>
      <w:r>
        <w:rPr>
          <w:rFonts w:hint="eastAsia" w:ascii="黑体" w:hAnsi="黑体" w:eastAsia="黑体"/>
          <w:bCs/>
          <w:color w:val="000000"/>
          <w:kern w:val="2"/>
          <w:sz w:val="24"/>
          <w:szCs w:val="24"/>
        </w:rPr>
        <w:t>。</w:t>
      </w:r>
    </w:p>
    <w:p>
      <w:pPr>
        <w:widowControl w:val="0"/>
        <w:adjustRightInd/>
        <w:snapToGrid/>
        <w:spacing w:after="120"/>
        <w:ind w:firstLine="480" w:firstLineChars="200"/>
        <w:jc w:val="both"/>
        <w:rPr>
          <w:rFonts w:ascii="宋体" w:hAnsi="宋体" w:eastAsia="宋体"/>
          <w:bCs/>
          <w:color w:val="000000"/>
          <w:kern w:val="2"/>
          <w:sz w:val="24"/>
          <w:szCs w:val="24"/>
        </w:rPr>
      </w:pPr>
      <w:r>
        <w:rPr>
          <w:rFonts w:hint="eastAsia" w:ascii="宋体" w:hAnsi="宋体" w:eastAsia="宋体"/>
          <w:bCs/>
          <w:color w:val="000000"/>
          <w:kern w:val="2"/>
          <w:sz w:val="24"/>
          <w:szCs w:val="24"/>
          <w:lang w:val="en-US" w:eastAsia="zh-CN"/>
        </w:rPr>
        <w:t>整改说明：补充了管道平面布置图，见报告图2-3、图2-4，补充了现场标识照片，见附图4</w:t>
      </w:r>
      <w:r>
        <w:rPr>
          <w:rFonts w:hint="eastAsia" w:ascii="宋体" w:hAnsi="宋体" w:eastAsia="宋体"/>
          <w:bCs/>
          <w:color w:val="000000"/>
          <w:kern w:val="2"/>
          <w:sz w:val="24"/>
          <w:szCs w:val="24"/>
        </w:rPr>
        <w:t>。</w:t>
      </w:r>
    </w:p>
    <w:p>
      <w:pPr>
        <w:widowControl w:val="0"/>
        <w:spacing w:after="0" w:line="360" w:lineRule="auto"/>
        <w:ind w:firstLine="480" w:firstLineChars="200"/>
        <w:jc w:val="both"/>
        <w:rPr>
          <w:rFonts w:ascii="宋体" w:hAnsi="宋体" w:eastAsia="宋体"/>
          <w:bCs/>
          <w:color w:val="000000"/>
          <w:kern w:val="2"/>
          <w:sz w:val="24"/>
          <w:szCs w:val="24"/>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pict>
        <v:shape id="文本框 2"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6"/>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64B4"/>
    <w:rsid w:val="000109AF"/>
    <w:rsid w:val="00016D39"/>
    <w:rsid w:val="00064996"/>
    <w:rsid w:val="00096C84"/>
    <w:rsid w:val="000B6127"/>
    <w:rsid w:val="0011516E"/>
    <w:rsid w:val="00117263"/>
    <w:rsid w:val="00117AC7"/>
    <w:rsid w:val="00124BDB"/>
    <w:rsid w:val="00176C62"/>
    <w:rsid w:val="00182E20"/>
    <w:rsid w:val="001A46B5"/>
    <w:rsid w:val="001A61F0"/>
    <w:rsid w:val="001F2FD9"/>
    <w:rsid w:val="001F5C49"/>
    <w:rsid w:val="00291B66"/>
    <w:rsid w:val="002E64CF"/>
    <w:rsid w:val="002F351C"/>
    <w:rsid w:val="002F51F6"/>
    <w:rsid w:val="00322BC6"/>
    <w:rsid w:val="00382447"/>
    <w:rsid w:val="003946FB"/>
    <w:rsid w:val="003D5486"/>
    <w:rsid w:val="003E2EC8"/>
    <w:rsid w:val="003E7501"/>
    <w:rsid w:val="00421518"/>
    <w:rsid w:val="00425BE3"/>
    <w:rsid w:val="0045125B"/>
    <w:rsid w:val="004B54D6"/>
    <w:rsid w:val="00514DD1"/>
    <w:rsid w:val="00554EAB"/>
    <w:rsid w:val="00590BFD"/>
    <w:rsid w:val="005D40E3"/>
    <w:rsid w:val="00653403"/>
    <w:rsid w:val="00683036"/>
    <w:rsid w:val="006F5AE9"/>
    <w:rsid w:val="00713C95"/>
    <w:rsid w:val="007A011F"/>
    <w:rsid w:val="007B046D"/>
    <w:rsid w:val="007C40E8"/>
    <w:rsid w:val="007E69CF"/>
    <w:rsid w:val="007F2778"/>
    <w:rsid w:val="00842A03"/>
    <w:rsid w:val="00853DB5"/>
    <w:rsid w:val="00873568"/>
    <w:rsid w:val="008770C6"/>
    <w:rsid w:val="0088545B"/>
    <w:rsid w:val="008B7D91"/>
    <w:rsid w:val="008D3C33"/>
    <w:rsid w:val="008E608E"/>
    <w:rsid w:val="008F0127"/>
    <w:rsid w:val="00931393"/>
    <w:rsid w:val="009355E6"/>
    <w:rsid w:val="00940DA1"/>
    <w:rsid w:val="00942455"/>
    <w:rsid w:val="00945501"/>
    <w:rsid w:val="009742A9"/>
    <w:rsid w:val="00976A8A"/>
    <w:rsid w:val="009A0385"/>
    <w:rsid w:val="009B7044"/>
    <w:rsid w:val="009E2591"/>
    <w:rsid w:val="00A76A53"/>
    <w:rsid w:val="00AD6457"/>
    <w:rsid w:val="00AF10AC"/>
    <w:rsid w:val="00AF6658"/>
    <w:rsid w:val="00B90E8C"/>
    <w:rsid w:val="00BE3360"/>
    <w:rsid w:val="00BF7DC5"/>
    <w:rsid w:val="00C3359F"/>
    <w:rsid w:val="00C4077A"/>
    <w:rsid w:val="00C65451"/>
    <w:rsid w:val="00C925E0"/>
    <w:rsid w:val="00CD1E22"/>
    <w:rsid w:val="00CE7B0B"/>
    <w:rsid w:val="00CF50B8"/>
    <w:rsid w:val="00CF7E43"/>
    <w:rsid w:val="00D364B4"/>
    <w:rsid w:val="00D72DEF"/>
    <w:rsid w:val="00DB58A0"/>
    <w:rsid w:val="00DC774B"/>
    <w:rsid w:val="00DF043E"/>
    <w:rsid w:val="00E05406"/>
    <w:rsid w:val="00E45DCE"/>
    <w:rsid w:val="00E64B26"/>
    <w:rsid w:val="00E75CE5"/>
    <w:rsid w:val="00E95094"/>
    <w:rsid w:val="00EA140E"/>
    <w:rsid w:val="00F122F0"/>
    <w:rsid w:val="00F26AE1"/>
    <w:rsid w:val="00F55E7A"/>
    <w:rsid w:val="00F6125B"/>
    <w:rsid w:val="00F72402"/>
    <w:rsid w:val="00FA32CC"/>
    <w:rsid w:val="00FE4ABB"/>
    <w:rsid w:val="01D827CB"/>
    <w:rsid w:val="03FA0A9B"/>
    <w:rsid w:val="12955E19"/>
    <w:rsid w:val="23200E88"/>
    <w:rsid w:val="50C5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after="0"/>
      <w:ind w:left="0" w:leftChars="0" w:firstLine="420"/>
    </w:pPr>
    <w:rPr>
      <w:rFonts w:cs="Times New Roman"/>
      <w:kern w:val="0"/>
      <w:szCs w:val="20"/>
    </w:rPr>
  </w:style>
  <w:style w:type="paragraph" w:styleId="3">
    <w:name w:val="Body Text Indent"/>
    <w:basedOn w:val="1"/>
    <w:next w:val="4"/>
    <w:semiHidden/>
    <w:unhideWhenUsed/>
    <w:qFormat/>
    <w:uiPriority w:val="99"/>
    <w:pPr>
      <w:spacing w:after="120"/>
      <w:ind w:left="420" w:leftChars="200"/>
    </w:p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numPr>
        <w:ilvl w:val="1"/>
        <w:numId w:val="1"/>
      </w:numPr>
      <w:spacing w:line="360" w:lineRule="auto"/>
    </w:pPr>
    <w:rPr>
      <w:rFonts w:ascii="Calibri" w:hAnsi="Calibri"/>
      <w:kern w:val="2"/>
      <w:sz w:val="21"/>
      <w:szCs w:val="22"/>
      <w:lang w:val="zh-CN"/>
    </w:rPr>
  </w:style>
  <w:style w:type="paragraph" w:styleId="8">
    <w:name w:val="Normal Indent"/>
    <w:basedOn w:val="1"/>
    <w:unhideWhenUsed/>
    <w:qFormat/>
    <w:uiPriority w:val="99"/>
    <w:pPr>
      <w:ind w:firstLine="420"/>
    </w:pPr>
    <w:rPr>
      <w:rFonts w:eastAsia="宋体"/>
      <w:kern w:val="2"/>
      <w:sz w:val="21"/>
    </w:rPr>
  </w:style>
  <w:style w:type="paragraph" w:styleId="9">
    <w:name w:val="Document Map"/>
    <w:basedOn w:val="1"/>
    <w:link w:val="19"/>
    <w:semiHidden/>
    <w:unhideWhenUsed/>
    <w:qFormat/>
    <w:uiPriority w:val="99"/>
    <w:rPr>
      <w:rFonts w:ascii="宋体" w:eastAsia="宋体"/>
      <w:sz w:val="18"/>
      <w:szCs w:val="18"/>
    </w:rPr>
  </w:style>
  <w:style w:type="paragraph" w:styleId="10">
    <w:name w:val="annotation text"/>
    <w:basedOn w:val="1"/>
    <w:link w:val="23"/>
    <w:qFormat/>
    <w:uiPriority w:val="0"/>
    <w:pPr>
      <w:tabs>
        <w:tab w:val="left" w:pos="377"/>
      </w:tabs>
      <w:adjustRightInd/>
      <w:snapToGrid/>
      <w:spacing w:after="0" w:line="360" w:lineRule="auto"/>
    </w:pPr>
    <w:rPr>
      <w:rFonts w:ascii="宋体" w:hAnsi="Times New Roman" w:eastAsia="宋体"/>
      <w:sz w:val="24"/>
      <w:szCs w:val="24"/>
    </w:rPr>
  </w:style>
  <w:style w:type="paragraph" w:styleId="11">
    <w:name w:val="Balloon Text"/>
    <w:basedOn w:val="1"/>
    <w:link w:val="35"/>
    <w:semiHidden/>
    <w:unhideWhenUsed/>
    <w:qFormat/>
    <w:uiPriority w:val="99"/>
    <w:pPr>
      <w:spacing w:after="0"/>
    </w:pPr>
    <w:rPr>
      <w:sz w:val="18"/>
      <w:szCs w:val="18"/>
    </w:rPr>
  </w:style>
  <w:style w:type="paragraph" w:styleId="12">
    <w:name w:val="footer"/>
    <w:basedOn w:val="1"/>
    <w:link w:val="18"/>
    <w:qFormat/>
    <w:uiPriority w:val="0"/>
    <w:pPr>
      <w:tabs>
        <w:tab w:val="center" w:pos="4153"/>
        <w:tab w:val="right" w:pos="8306"/>
      </w:tabs>
    </w:pPr>
    <w:rPr>
      <w:sz w:val="18"/>
    </w:rPr>
  </w:style>
  <w:style w:type="paragraph" w:styleId="13">
    <w:name w:val="header"/>
    <w:basedOn w:val="1"/>
    <w:link w:val="36"/>
    <w:unhideWhenUsed/>
    <w:qFormat/>
    <w:uiPriority w:val="99"/>
    <w:pPr>
      <w:pBdr>
        <w:bottom w:val="single" w:color="auto" w:sz="6" w:space="1"/>
      </w:pBdr>
      <w:tabs>
        <w:tab w:val="center" w:pos="4153"/>
        <w:tab w:val="right" w:pos="8306"/>
      </w:tabs>
      <w:jc w:val="center"/>
    </w:pPr>
    <w:rPr>
      <w:sz w:val="18"/>
      <w:szCs w:val="18"/>
    </w:rPr>
  </w:style>
  <w:style w:type="table" w:styleId="15">
    <w:name w:val="Table Grid"/>
    <w:basedOn w:val="14"/>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style21"/>
    <w:basedOn w:val="16"/>
    <w:qFormat/>
    <w:uiPriority w:val="0"/>
    <w:rPr>
      <w:rFonts w:ascii="TimesNewRomanPSMT" w:hAnsi="TimesNewRomanPSMT" w:eastAsia="TimesNewRomanPSMT" w:cs="TimesNewRomanPSMT"/>
      <w:color w:val="000000"/>
      <w:sz w:val="24"/>
      <w:szCs w:val="24"/>
    </w:rPr>
  </w:style>
  <w:style w:type="character" w:customStyle="1" w:styleId="18">
    <w:name w:val="页脚 字符"/>
    <w:basedOn w:val="16"/>
    <w:link w:val="12"/>
    <w:uiPriority w:val="0"/>
    <w:rPr>
      <w:rFonts w:ascii="Tahoma" w:hAnsi="Tahoma" w:eastAsia="微软雅黑" w:cs="Times New Roman"/>
      <w:kern w:val="0"/>
      <w:sz w:val="18"/>
    </w:rPr>
  </w:style>
  <w:style w:type="character" w:customStyle="1" w:styleId="19">
    <w:name w:val="文档结构图 字符"/>
    <w:basedOn w:val="16"/>
    <w:link w:val="9"/>
    <w:semiHidden/>
    <w:qFormat/>
    <w:uiPriority w:val="99"/>
    <w:rPr>
      <w:rFonts w:ascii="宋体" w:hAnsi="Tahoma" w:eastAsia="宋体" w:cs="Times New Roman"/>
      <w:kern w:val="0"/>
      <w:sz w:val="18"/>
      <w:szCs w:val="18"/>
    </w:rPr>
  </w:style>
  <w:style w:type="paragraph" w:customStyle="1" w:styleId="20">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2">
    <w:name w:val="lm正文 Char"/>
    <w:link w:val="21"/>
    <w:qFormat/>
    <w:uiPriority w:val="0"/>
    <w:rPr>
      <w:rFonts w:ascii="宋体" w:hAnsi="宋体" w:eastAsia="宋体" w:cs="Times New Roman"/>
      <w:kern w:val="0"/>
      <w:sz w:val="24"/>
      <w:szCs w:val="24"/>
    </w:rPr>
  </w:style>
  <w:style w:type="character" w:customStyle="1" w:styleId="23">
    <w:name w:val="批注文字 字符"/>
    <w:basedOn w:val="16"/>
    <w:link w:val="10"/>
    <w:qFormat/>
    <w:uiPriority w:val="0"/>
    <w:rPr>
      <w:rFonts w:ascii="宋体" w:hAnsi="Times New Roman" w:eastAsia="宋体" w:cs="Times New Roman"/>
      <w:kern w:val="0"/>
      <w:sz w:val="24"/>
      <w:szCs w:val="24"/>
    </w:rPr>
  </w:style>
  <w:style w:type="paragraph" w:customStyle="1" w:styleId="24">
    <w:name w:val="lm表头"/>
    <w:basedOn w:val="1"/>
    <w:link w:val="25"/>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5">
    <w:name w:val="lm表头 Char"/>
    <w:link w:val="24"/>
    <w:qFormat/>
    <w:uiPriority w:val="0"/>
    <w:rPr>
      <w:rFonts w:ascii="宋体" w:hAnsi="宋体" w:eastAsia="宋体" w:cs="Times New Roman"/>
      <w:bCs/>
      <w:szCs w:val="21"/>
    </w:rPr>
  </w:style>
  <w:style w:type="paragraph" w:customStyle="1" w:styleId="26">
    <w:name w:val="样式 正文 首行缩进:  2 字符 SL CON + 首行缩进:  2 字符 + 首行缩进:  2 字符 + 首行缩..."/>
    <w:basedOn w:val="1"/>
    <w:link w:val="31"/>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7">
    <w:name w:val="样式 正文 首行缩进:  2 字符 SL CON + 首行缩进:  2 字符"/>
    <w:basedOn w:val="1"/>
    <w:link w:val="28"/>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8">
    <w:name w:val="样式 正文 首行缩进:  2 字符 SL CON + 首行缩进:  2 字符 Char"/>
    <w:link w:val="27"/>
    <w:qFormat/>
    <w:uiPriority w:val="0"/>
    <w:rPr>
      <w:rFonts w:ascii="宋体" w:hAnsi="Times New Roman" w:eastAsia="宋体" w:cs="Times New Roman"/>
      <w:kern w:val="0"/>
      <w:sz w:val="28"/>
      <w:szCs w:val="20"/>
    </w:rPr>
  </w:style>
  <w:style w:type="paragraph" w:customStyle="1" w:styleId="29">
    <w:name w:val="样式 表（或图）标题"/>
    <w:basedOn w:val="1"/>
    <w:link w:val="30"/>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30">
    <w:name w:val="样式 表（或图）标题 Char"/>
    <w:link w:val="29"/>
    <w:qFormat/>
    <w:uiPriority w:val="0"/>
    <w:rPr>
      <w:rFonts w:ascii="宋体" w:hAnsi="宋体" w:eastAsia="宋体" w:cs="Times New Roman"/>
      <w:b/>
      <w:kern w:val="0"/>
      <w:szCs w:val="20"/>
    </w:rPr>
  </w:style>
  <w:style w:type="character" w:customStyle="1" w:styleId="31">
    <w:name w:val="样式 正文 首行缩进:  2 字符 SL CON + 首行缩进:  2 字符 + 首行缩进:  2 字符 + 首行缩... Char"/>
    <w:link w:val="26"/>
    <w:uiPriority w:val="0"/>
    <w:rPr>
      <w:rFonts w:ascii="宋体" w:hAnsi="宋体" w:eastAsia="宋体" w:cs="Times New Roman"/>
      <w:kern w:val="0"/>
      <w:sz w:val="28"/>
      <w:szCs w:val="20"/>
    </w:rPr>
  </w:style>
  <w:style w:type="paragraph" w:customStyle="1" w:styleId="32">
    <w:name w:val="lm图例"/>
    <w:basedOn w:val="1"/>
    <w:link w:val="33"/>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3">
    <w:name w:val="lm图例 Char"/>
    <w:link w:val="32"/>
    <w:qFormat/>
    <w:uiPriority w:val="0"/>
    <w:rPr>
      <w:rFonts w:ascii="宋体" w:hAnsi="宋体" w:eastAsia="宋体" w:cs="Times New Roman"/>
    </w:rPr>
  </w:style>
  <w:style w:type="paragraph" w:customStyle="1" w:styleId="34">
    <w:name w:val="第四章图件"/>
    <w:basedOn w:val="8"/>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5">
    <w:name w:val="批注框文本 字符"/>
    <w:basedOn w:val="16"/>
    <w:link w:val="11"/>
    <w:semiHidden/>
    <w:qFormat/>
    <w:uiPriority w:val="99"/>
    <w:rPr>
      <w:rFonts w:ascii="Tahoma" w:hAnsi="Tahoma" w:eastAsia="微软雅黑" w:cs="Times New Roman"/>
      <w:kern w:val="0"/>
      <w:sz w:val="18"/>
      <w:szCs w:val="18"/>
    </w:rPr>
  </w:style>
  <w:style w:type="character" w:customStyle="1" w:styleId="36">
    <w:name w:val="页眉 字符"/>
    <w:basedOn w:val="16"/>
    <w:link w:val="13"/>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EA98901-41A1-4DDA-96EB-531FF04D063B}"/>
</file>

<file path=customXml/itemProps3.xml><?xml version="1.0" encoding="utf-8"?>
<ds:datastoreItem xmlns:ds="http://schemas.openxmlformats.org/officeDocument/2006/customXml" ds:itemID="{981C1537-308D-48CA-8F07-77AAF7AA1BE5}"/>
</file>

<file path=customXml/itemProps4.xml><?xml version="1.0" encoding="utf-8"?>
<ds:datastoreItem xmlns:ds="http://schemas.openxmlformats.org/officeDocument/2006/customXml" ds:itemID="{859AD30C-0523-43F2-91DC-C4EA476CA9BD}"/>
</file>

<file path=customXml/itemProps5.xml><?xml version="1.0" encoding="utf-8"?>
<ds:datastoreItem xmlns:ds="http://schemas.openxmlformats.org/officeDocument/2006/customXml" ds:itemID="{328BBBED-BC65-48D7-8C68-12A06032E135}"/>
</file>

<file path=docProps/app.xml><?xml version="1.0" encoding="utf-8"?>
<Properties xmlns="http://schemas.openxmlformats.org/officeDocument/2006/extended-properties" xmlns:vt="http://schemas.openxmlformats.org/officeDocument/2006/docPropsVTypes">
  <Template>Normal</Template>
  <Company>Microsoft</Company>
  <Pages>3</Pages>
  <Words>279</Words>
  <Characters>1591</Characters>
  <Lines>13</Lines>
  <Paragraphs>3</Paragraphs>
  <TotalTime>1</TotalTime>
  <ScaleCrop>false</ScaleCrop>
  <LinksUpToDate>false</LinksUpToDate>
  <CharactersWithSpaces>1867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123</cp:lastModifiedBy>
  <cp:revision>68</cp:revision>
  <dcterms:created xsi:type="dcterms:W3CDTF">2019-02-25T11:20:00Z</dcterms:created>
  <dcterms:modified xsi:type="dcterms:W3CDTF">2020-09-21T01:10:10Z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entTypeId">
    <vt:lpwstr>0x010100313989E510CC474A862876A387D6F14A</vt:lpwstr>
  </property>
</Properties>
</file>