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500" w:lineRule="exact"/>
        <w:jc w:val="center"/>
        <w:textAlignment w:val="auto"/>
        <w:outlineLvl w:val="0"/>
        <w:rPr>
          <w:rFonts w:ascii="宋体" w:hAnsi="宋体" w:eastAsia="宋体" w:cs="宋体"/>
          <w:b/>
          <w:sz w:val="44"/>
          <w:szCs w:val="44"/>
        </w:rPr>
      </w:pPr>
      <w:r>
        <w:rPr>
          <w:rFonts w:hint="eastAsia" w:ascii="宋体" w:hAnsi="宋体" w:eastAsia="宋体" w:cs="宋体"/>
          <w:b/>
          <w:sz w:val="44"/>
          <w:szCs w:val="44"/>
        </w:rPr>
        <w:t>其他需要说明的事项</w:t>
      </w:r>
    </w:p>
    <w:p>
      <w:pPr>
        <w:snapToGrid/>
        <w:spacing w:before="157" w:after="0" w:line="500" w:lineRule="exact"/>
        <w:rPr>
          <w:rFonts w:ascii="Times New Roman" w:hAnsi="Times New Roman" w:eastAsia="宋体"/>
          <w:b/>
          <w:bCs/>
          <w:sz w:val="36"/>
          <w:szCs w:val="36"/>
        </w:rPr>
      </w:pP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ascii="Times New Roman" w:hAnsi="Times New Roman" w:eastAsia="宋体"/>
          <w:b/>
          <w:bCs/>
          <w:sz w:val="32"/>
          <w:szCs w:val="32"/>
        </w:rPr>
      </w:pPr>
      <w:r>
        <w:rPr>
          <w:rFonts w:ascii="Times New Roman" w:hAnsi="Times New Roman" w:eastAsia="宋体"/>
          <w:b/>
          <w:bCs/>
          <w:sz w:val="32"/>
          <w:szCs w:val="32"/>
        </w:rPr>
        <w:t>1环境保护设施设计、施工和验收过程简况</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ascii="Times New Roman" w:hAnsi="Times New Roman" w:eastAsia="宋体"/>
          <w:sz w:val="28"/>
          <w:szCs w:val="28"/>
        </w:rPr>
      </w:pPr>
      <w:r>
        <w:rPr>
          <w:rFonts w:hint="eastAsia" w:ascii="Times New Roman" w:hAnsi="Times New Roman" w:eastAsia="宋体"/>
          <w:b/>
          <w:bCs/>
          <w:sz w:val="28"/>
          <w:szCs w:val="28"/>
        </w:rPr>
        <w:t>1.1设计简况</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本项目环境保护设施的设计在可行性研究报告中和初步设计时均有考虑</w:t>
      </w:r>
      <w:r>
        <w:rPr>
          <w:rFonts w:hint="eastAsia" w:ascii="Times New Roman" w:hAnsi="Times New Roman" w:eastAsia="宋体" w:cs="Times New Roman"/>
          <w:color w:val="000000"/>
          <w:kern w:val="0"/>
          <w:sz w:val="24"/>
          <w:szCs w:val="24"/>
          <w:lang w:val="en-US" w:eastAsia="zh-CN" w:bidi="ar"/>
        </w:rPr>
        <w:t>，符合相关环境保护设计规范</w:t>
      </w: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eastAsia="宋体" w:cs="Times New Roman"/>
          <w:color w:val="000000"/>
          <w:kern w:val="0"/>
          <w:sz w:val="24"/>
          <w:szCs w:val="24"/>
          <w:lang w:val="en-US" w:eastAsia="zh-CN" w:bidi="ar"/>
        </w:rPr>
        <w:t>本</w:t>
      </w:r>
      <w:r>
        <w:rPr>
          <w:rFonts w:hint="default" w:ascii="Times New Roman" w:hAnsi="Times New Roman" w:eastAsia="宋体" w:cs="Times New Roman"/>
          <w:color w:val="000000"/>
          <w:kern w:val="0"/>
          <w:sz w:val="24"/>
          <w:szCs w:val="24"/>
          <w:lang w:val="en-US" w:eastAsia="zh-CN" w:bidi="ar"/>
        </w:rPr>
        <w:t>项目总投资</w:t>
      </w:r>
      <w:r>
        <w:rPr>
          <w:rFonts w:hint="eastAsia" w:ascii="Times New Roman" w:hAnsi="Times New Roman" w:eastAsia="宋体" w:cs="Times New Roman"/>
          <w:color w:val="000000"/>
          <w:kern w:val="0"/>
          <w:sz w:val="24"/>
          <w:szCs w:val="24"/>
          <w:lang w:val="en-US" w:eastAsia="zh-CN" w:bidi="ar"/>
        </w:rPr>
        <w:t>为9948.5</w:t>
      </w:r>
      <w:r>
        <w:rPr>
          <w:rFonts w:hint="default" w:ascii="Times New Roman" w:hAnsi="Times New Roman" w:eastAsia="宋体" w:cs="Times New Roman"/>
          <w:color w:val="000000"/>
          <w:kern w:val="0"/>
          <w:sz w:val="24"/>
          <w:szCs w:val="24"/>
          <w:lang w:val="en-US" w:eastAsia="zh-CN" w:bidi="ar"/>
        </w:rPr>
        <w:t>万元，环境保护投资为197.4万元，主要用于项目废气、废水、固体废物治理，生态恢复和环境风险防控方面。</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hint="eastAsia" w:ascii="Times New Roman" w:hAnsi="Times New Roman" w:eastAsia="宋体"/>
          <w:b/>
          <w:bCs/>
          <w:sz w:val="28"/>
          <w:szCs w:val="28"/>
          <w:lang w:val="en-US" w:eastAsia="zh-CN"/>
        </w:rPr>
      </w:pPr>
      <w:r>
        <w:rPr>
          <w:rFonts w:ascii="Times New Roman" w:hAnsi="Times New Roman" w:eastAsia="宋体"/>
          <w:b/>
          <w:bCs/>
          <w:sz w:val="28"/>
          <w:szCs w:val="28"/>
        </w:rPr>
        <w:t>1.</w:t>
      </w:r>
      <w:r>
        <w:rPr>
          <w:rFonts w:hint="eastAsia" w:ascii="Times New Roman" w:hAnsi="Times New Roman" w:eastAsia="宋体"/>
          <w:b/>
          <w:bCs/>
          <w:sz w:val="28"/>
          <w:szCs w:val="28"/>
        </w:rPr>
        <w:t>2</w:t>
      </w:r>
      <w:r>
        <w:rPr>
          <w:rFonts w:hint="eastAsia" w:ascii="Times New Roman" w:hAnsi="Times New Roman" w:eastAsia="宋体"/>
          <w:b/>
          <w:bCs/>
          <w:sz w:val="28"/>
          <w:szCs w:val="28"/>
          <w:lang w:val="en-US" w:eastAsia="zh-CN"/>
        </w:rPr>
        <w:t>施工简况</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000000"/>
          <w:kern w:val="0"/>
          <w:sz w:val="24"/>
          <w:szCs w:val="24"/>
          <w:lang w:val="en-US" w:eastAsia="zh-CN" w:bidi="ar"/>
        </w:rPr>
        <w:t>建设单位要求施工单位严格按照合同中要求，在确保环境保护设施的建设进度和资金的保障前提下，严格落实环境影响报告表及</w:t>
      </w:r>
      <w:r>
        <w:rPr>
          <w:rFonts w:hint="eastAsia" w:ascii="Times New Roman" w:hAnsi="Times New Roman" w:eastAsia="宋体" w:cs="Times New Roman"/>
          <w:color w:val="000000"/>
          <w:kern w:val="0"/>
          <w:sz w:val="24"/>
          <w:szCs w:val="24"/>
          <w:lang w:val="en-US" w:eastAsia="zh-CN" w:bidi="ar"/>
        </w:rPr>
        <w:t>东</w:t>
      </w:r>
      <w:r>
        <w:rPr>
          <w:rFonts w:hint="default" w:ascii="Times New Roman" w:hAnsi="Times New Roman" w:eastAsia="宋体" w:cs="Times New Roman"/>
          <w:color w:val="000000"/>
          <w:kern w:val="0"/>
          <w:sz w:val="24"/>
          <w:szCs w:val="24"/>
          <w:lang w:val="en-US" w:eastAsia="zh-CN" w:bidi="ar"/>
        </w:rPr>
        <w:t>环建审〔2018〕</w:t>
      </w:r>
      <w:r>
        <w:rPr>
          <w:rFonts w:hint="eastAsia" w:ascii="Times New Roman" w:hAnsi="Times New Roman" w:eastAsia="宋体" w:cs="Times New Roman"/>
          <w:color w:val="000000"/>
          <w:kern w:val="0"/>
          <w:sz w:val="24"/>
          <w:szCs w:val="24"/>
          <w:lang w:val="en-US" w:eastAsia="zh-CN" w:bidi="ar"/>
        </w:rPr>
        <w:t>5117</w:t>
      </w:r>
      <w:r>
        <w:rPr>
          <w:rFonts w:hint="default" w:ascii="Times New Roman" w:hAnsi="Times New Roman" w:eastAsia="宋体" w:cs="Times New Roman"/>
          <w:color w:val="000000"/>
          <w:kern w:val="0"/>
          <w:sz w:val="24"/>
          <w:szCs w:val="24"/>
          <w:lang w:val="en-US" w:eastAsia="zh-CN" w:bidi="ar"/>
        </w:rPr>
        <w:t>号文中提出的生态保护工程和污染防治措施。</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ascii="Times New Roman" w:hAnsi="Times New Roman" w:eastAsia="宋体"/>
          <w:b/>
          <w:bCs/>
          <w:sz w:val="28"/>
          <w:szCs w:val="28"/>
        </w:rPr>
      </w:pPr>
      <w:r>
        <w:rPr>
          <w:rFonts w:hint="eastAsia" w:ascii="Times New Roman" w:hAnsi="Times New Roman" w:eastAsia="宋体"/>
          <w:b/>
          <w:bCs/>
          <w:sz w:val="28"/>
          <w:szCs w:val="28"/>
          <w:lang w:val="en-US" w:eastAsia="zh-CN"/>
        </w:rPr>
        <w:t>1.3</w:t>
      </w:r>
      <w:r>
        <w:rPr>
          <w:rFonts w:ascii="Times New Roman" w:hAnsi="Times New Roman" w:eastAsia="宋体"/>
          <w:b/>
          <w:bCs/>
          <w:sz w:val="28"/>
          <w:szCs w:val="28"/>
        </w:rPr>
        <w:t>验收过程简况</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2018年</w:t>
      </w:r>
      <w:r>
        <w:rPr>
          <w:rFonts w:hint="eastAsia" w:ascii="Times New Roman" w:hAnsi="Times New Roman" w:eastAsia="宋体" w:cs="Times New Roman"/>
          <w:color w:val="000000"/>
          <w:kern w:val="0"/>
          <w:sz w:val="24"/>
          <w:szCs w:val="24"/>
          <w:lang w:val="en-US" w:eastAsia="zh-CN" w:bidi="ar"/>
        </w:rPr>
        <w:t>8</w:t>
      </w:r>
      <w:r>
        <w:rPr>
          <w:rFonts w:hint="default" w:ascii="Times New Roman" w:hAnsi="Times New Roman" w:eastAsia="宋体" w:cs="Times New Roman"/>
          <w:color w:val="000000"/>
          <w:kern w:val="0"/>
          <w:sz w:val="24"/>
          <w:szCs w:val="24"/>
          <w:lang w:val="en-US" w:eastAsia="zh-CN" w:bidi="ar"/>
        </w:rPr>
        <w:t>月，胜利油田检测评价研究有限公司编制完成了《</w:t>
      </w:r>
      <w:r>
        <w:rPr>
          <w:rFonts w:hint="eastAsia" w:ascii="Times New Roman" w:hAnsi="Times New Roman" w:eastAsia="宋体" w:cs="Times New Roman"/>
          <w:color w:val="000000"/>
          <w:kern w:val="0"/>
          <w:sz w:val="24"/>
          <w:szCs w:val="24"/>
          <w:lang w:val="en-US" w:eastAsia="zh-CN" w:bidi="ar"/>
        </w:rPr>
        <w:t>河口采油厂埕东油田埕南12-平11块产能建设工程环境影响报告表</w:t>
      </w:r>
      <w:r>
        <w:rPr>
          <w:rFonts w:hint="default" w:ascii="Times New Roman" w:hAnsi="Times New Roman" w:eastAsia="宋体" w:cs="Times New Roman"/>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2018年</w:t>
      </w:r>
      <w:r>
        <w:rPr>
          <w:rFonts w:hint="eastAsia" w:ascii="Times New Roman" w:hAnsi="Times New Roman" w:eastAsia="宋体" w:cs="Times New Roman"/>
          <w:color w:val="000000"/>
          <w:kern w:val="0"/>
          <w:sz w:val="24"/>
          <w:szCs w:val="24"/>
          <w:lang w:val="en-US" w:eastAsia="zh-CN" w:bidi="ar"/>
        </w:rPr>
        <w:t>8</w:t>
      </w:r>
      <w:r>
        <w:rPr>
          <w:rFonts w:hint="default" w:ascii="Times New Roman" w:hAnsi="Times New Roman" w:eastAsia="宋体" w:cs="Times New Roman"/>
          <w:color w:val="000000"/>
          <w:kern w:val="0"/>
          <w:sz w:val="24"/>
          <w:szCs w:val="24"/>
          <w:lang w:val="en-US" w:eastAsia="zh-CN" w:bidi="ar"/>
        </w:rPr>
        <w:t>月</w:t>
      </w:r>
      <w:r>
        <w:rPr>
          <w:rFonts w:hint="eastAsia" w:ascii="Times New Roman" w:hAnsi="Times New Roman" w:eastAsia="宋体" w:cs="Times New Roman"/>
          <w:color w:val="000000"/>
          <w:kern w:val="0"/>
          <w:sz w:val="24"/>
          <w:szCs w:val="24"/>
          <w:lang w:val="en-US" w:eastAsia="zh-CN" w:bidi="ar"/>
        </w:rPr>
        <w:t>7</w:t>
      </w:r>
      <w:r>
        <w:rPr>
          <w:rFonts w:hint="default" w:ascii="Times New Roman" w:hAnsi="Times New Roman" w:eastAsia="宋体" w:cs="Times New Roman"/>
          <w:color w:val="000000"/>
          <w:kern w:val="0"/>
          <w:sz w:val="24"/>
          <w:szCs w:val="24"/>
          <w:lang w:val="en-US" w:eastAsia="zh-CN" w:bidi="ar"/>
        </w:rPr>
        <w:t>日，</w:t>
      </w:r>
      <w:r>
        <w:rPr>
          <w:rFonts w:hint="eastAsia" w:ascii="Times New Roman" w:hAnsi="Times New Roman" w:eastAsia="宋体" w:cs="Times New Roman"/>
          <w:color w:val="000000"/>
          <w:kern w:val="0"/>
          <w:sz w:val="24"/>
          <w:szCs w:val="24"/>
          <w:lang w:val="en-US" w:eastAsia="zh-CN" w:bidi="ar"/>
        </w:rPr>
        <w:t>东营市</w:t>
      </w:r>
      <w:r>
        <w:rPr>
          <w:rFonts w:hint="default" w:ascii="Times New Roman" w:hAnsi="Times New Roman" w:eastAsia="宋体" w:cs="Times New Roman"/>
          <w:color w:val="000000"/>
          <w:kern w:val="0"/>
          <w:sz w:val="24"/>
          <w:szCs w:val="24"/>
          <w:lang w:val="en-US" w:eastAsia="zh-CN" w:bidi="ar"/>
        </w:rPr>
        <w:t>环境保护局以</w:t>
      </w:r>
      <w:r>
        <w:rPr>
          <w:rFonts w:hint="eastAsia" w:ascii="Times New Roman" w:hAnsi="Times New Roman" w:eastAsia="宋体" w:cs="Times New Roman"/>
          <w:color w:val="000000"/>
          <w:kern w:val="0"/>
          <w:sz w:val="24"/>
          <w:szCs w:val="24"/>
          <w:lang w:val="en-US" w:eastAsia="zh-CN" w:bidi="ar"/>
        </w:rPr>
        <w:t>东</w:t>
      </w:r>
      <w:r>
        <w:rPr>
          <w:rFonts w:hint="default" w:ascii="Times New Roman" w:hAnsi="Times New Roman" w:eastAsia="宋体" w:cs="Times New Roman"/>
          <w:color w:val="000000"/>
          <w:kern w:val="0"/>
          <w:sz w:val="24"/>
          <w:szCs w:val="24"/>
          <w:lang w:val="en-US" w:eastAsia="zh-CN" w:bidi="ar"/>
        </w:rPr>
        <w:t>环建审〔2018〕</w:t>
      </w:r>
      <w:r>
        <w:rPr>
          <w:rFonts w:hint="eastAsia" w:ascii="Times New Roman" w:hAnsi="Times New Roman" w:eastAsia="宋体" w:cs="Times New Roman"/>
          <w:color w:val="000000"/>
          <w:kern w:val="0"/>
          <w:sz w:val="24"/>
          <w:szCs w:val="24"/>
          <w:lang w:val="en-US" w:eastAsia="zh-CN" w:bidi="ar"/>
        </w:rPr>
        <w:t>5117</w:t>
      </w:r>
      <w:r>
        <w:rPr>
          <w:rFonts w:hint="default" w:ascii="Times New Roman" w:hAnsi="Times New Roman" w:eastAsia="宋体" w:cs="Times New Roman"/>
          <w:color w:val="000000"/>
          <w:kern w:val="0"/>
          <w:sz w:val="24"/>
          <w:szCs w:val="24"/>
          <w:lang w:val="en-US" w:eastAsia="zh-CN" w:bidi="ar"/>
        </w:rPr>
        <w:t>号文对该报告表进行批复；</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201</w:t>
      </w:r>
      <w:r>
        <w:rPr>
          <w:rFonts w:hint="eastAsia" w:ascii="Times New Roman" w:hAnsi="Times New Roman" w:eastAsia="宋体" w:cs="Times New Roman"/>
          <w:color w:val="000000"/>
          <w:kern w:val="0"/>
          <w:sz w:val="24"/>
          <w:szCs w:val="24"/>
          <w:lang w:val="en-US" w:eastAsia="zh-CN" w:bidi="ar"/>
        </w:rPr>
        <w:t>8</w:t>
      </w:r>
      <w:r>
        <w:rPr>
          <w:rFonts w:hint="default" w:ascii="Times New Roman" w:hAnsi="Times New Roman" w:eastAsia="宋体" w:cs="Times New Roman"/>
          <w:color w:val="000000"/>
          <w:kern w:val="0"/>
          <w:sz w:val="24"/>
          <w:szCs w:val="24"/>
          <w:lang w:val="en-US" w:eastAsia="zh-CN" w:bidi="ar"/>
        </w:rPr>
        <w:t>年</w:t>
      </w:r>
      <w:r>
        <w:rPr>
          <w:rFonts w:hint="eastAsia" w:ascii="Times New Roman" w:hAnsi="Times New Roman" w:eastAsia="宋体" w:cs="Times New Roman"/>
          <w:color w:val="000000"/>
          <w:kern w:val="0"/>
          <w:sz w:val="24"/>
          <w:szCs w:val="24"/>
          <w:lang w:val="en-US" w:eastAsia="zh-CN" w:bidi="ar"/>
        </w:rPr>
        <w:t>8</w:t>
      </w:r>
      <w:r>
        <w:rPr>
          <w:rFonts w:hint="default" w:ascii="Times New Roman" w:hAnsi="Times New Roman" w:eastAsia="宋体" w:cs="Times New Roman"/>
          <w:color w:val="000000"/>
          <w:kern w:val="0"/>
          <w:sz w:val="24"/>
          <w:szCs w:val="24"/>
          <w:lang w:val="en-US" w:eastAsia="zh-CN" w:bidi="ar"/>
        </w:rPr>
        <w:t>月</w:t>
      </w:r>
      <w:r>
        <w:rPr>
          <w:rFonts w:hint="eastAsia" w:ascii="Times New Roman" w:hAnsi="Times New Roman" w:eastAsia="宋体" w:cs="Times New Roman"/>
          <w:color w:val="000000"/>
          <w:kern w:val="0"/>
          <w:sz w:val="24"/>
          <w:szCs w:val="24"/>
          <w:lang w:val="en-US" w:eastAsia="zh-CN" w:bidi="ar"/>
        </w:rPr>
        <w:t>27</w:t>
      </w:r>
      <w:r>
        <w:rPr>
          <w:rFonts w:hint="default" w:ascii="Times New Roman" w:hAnsi="Times New Roman" w:eastAsia="宋体" w:cs="Times New Roman"/>
          <w:color w:val="000000"/>
          <w:kern w:val="0"/>
          <w:sz w:val="24"/>
          <w:szCs w:val="24"/>
          <w:lang w:val="en-US" w:eastAsia="zh-CN" w:bidi="ar"/>
        </w:rPr>
        <w:t>日，工程开工建设；</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201</w:t>
      </w:r>
      <w:r>
        <w:rPr>
          <w:rFonts w:hint="eastAsia" w:ascii="Times New Roman" w:hAnsi="Times New Roman" w:eastAsia="宋体" w:cs="Times New Roman"/>
          <w:color w:val="000000"/>
          <w:kern w:val="0"/>
          <w:sz w:val="24"/>
          <w:szCs w:val="24"/>
          <w:lang w:val="en-US" w:eastAsia="zh-CN" w:bidi="ar"/>
        </w:rPr>
        <w:t>9</w:t>
      </w:r>
      <w:r>
        <w:rPr>
          <w:rFonts w:hint="default" w:ascii="Times New Roman" w:hAnsi="Times New Roman" w:eastAsia="宋体" w:cs="Times New Roman"/>
          <w:color w:val="000000"/>
          <w:kern w:val="0"/>
          <w:sz w:val="24"/>
          <w:szCs w:val="24"/>
          <w:lang w:val="en-US" w:eastAsia="zh-CN" w:bidi="ar"/>
        </w:rPr>
        <w:t>年</w:t>
      </w:r>
      <w:r>
        <w:rPr>
          <w:rFonts w:hint="eastAsia" w:ascii="Times New Roman" w:hAnsi="Times New Roman" w:eastAsia="宋体" w:cs="Times New Roman"/>
          <w:color w:val="000000"/>
          <w:kern w:val="0"/>
          <w:sz w:val="24"/>
          <w:szCs w:val="24"/>
          <w:lang w:val="en-US" w:eastAsia="zh-CN" w:bidi="ar"/>
        </w:rPr>
        <w:t>9</w:t>
      </w:r>
      <w:r>
        <w:rPr>
          <w:rFonts w:hint="default" w:ascii="Times New Roman" w:hAnsi="Times New Roman" w:eastAsia="宋体" w:cs="Times New Roman"/>
          <w:color w:val="000000"/>
          <w:kern w:val="0"/>
          <w:sz w:val="24"/>
          <w:szCs w:val="24"/>
          <w:lang w:val="en-US" w:eastAsia="zh-CN" w:bidi="ar"/>
        </w:rPr>
        <w:t>月</w:t>
      </w:r>
      <w:r>
        <w:rPr>
          <w:rFonts w:hint="eastAsia" w:ascii="Times New Roman" w:hAnsi="Times New Roman" w:eastAsia="宋体" w:cs="Times New Roman"/>
          <w:color w:val="000000"/>
          <w:kern w:val="0"/>
          <w:sz w:val="24"/>
          <w:szCs w:val="24"/>
          <w:lang w:val="en-US" w:eastAsia="zh-CN" w:bidi="ar"/>
        </w:rPr>
        <w:t>5</w:t>
      </w:r>
      <w:r>
        <w:rPr>
          <w:rFonts w:hint="default" w:ascii="Times New Roman" w:hAnsi="Times New Roman" w:eastAsia="宋体" w:cs="Times New Roman"/>
          <w:color w:val="000000"/>
          <w:kern w:val="0"/>
          <w:sz w:val="24"/>
          <w:szCs w:val="24"/>
          <w:lang w:val="en-US" w:eastAsia="zh-CN" w:bidi="ar"/>
        </w:rPr>
        <w:t>日，工程竣工；</w:t>
      </w:r>
    </w:p>
    <w:p>
      <w:pPr>
        <w:pStyle w:val="2"/>
        <w:rPr>
          <w:rFonts w:hint="default"/>
          <w:lang w:val="en-US"/>
        </w:rPr>
      </w:pPr>
      <w:r>
        <w:rPr>
          <w:rFonts w:hint="eastAsia" w:ascii="Times New Roman" w:hAnsi="Times New Roman" w:eastAsia="宋体" w:cs="Times New Roman"/>
          <w:color w:val="000000"/>
          <w:kern w:val="0"/>
          <w:sz w:val="24"/>
          <w:szCs w:val="24"/>
          <w:lang w:val="en-US" w:eastAsia="zh-CN" w:bidi="ar"/>
        </w:rPr>
        <w:t>2019年9月20日，投入试运行；</w:t>
      </w:r>
    </w:p>
    <w:p>
      <w:pPr>
        <w:widowControl w:val="0"/>
        <w:spacing w:after="0" w:line="360" w:lineRule="auto"/>
        <w:ind w:firstLine="480" w:firstLineChars="200"/>
        <w:jc w:val="both"/>
        <w:rPr>
          <w:rFonts w:ascii="Times New Roman" w:hAnsi="Times New Roman" w:eastAsiaTheme="minorEastAsia"/>
          <w:color w:val="000000" w:themeColor="text1"/>
          <w:kern w:val="2"/>
          <w:sz w:val="24"/>
          <w:szCs w:val="24"/>
          <w:lang w:val="zh-CN"/>
          <w14:textFill>
            <w14:solidFill>
              <w14:schemeClr w14:val="tx1"/>
            </w14:solidFill>
          </w14:textFill>
        </w:rPr>
      </w:pPr>
      <w:r>
        <w:rPr>
          <w:rFonts w:ascii="Times New Roman" w:hAnsiTheme="minorEastAsia" w:eastAsiaTheme="minorEastAsia"/>
          <w:color w:val="000000" w:themeColor="text1"/>
          <w:kern w:val="2"/>
          <w:sz w:val="24"/>
          <w:szCs w:val="24"/>
          <w:lang w:val="zh-CN"/>
          <w14:textFill>
            <w14:solidFill>
              <w14:schemeClr w14:val="tx1"/>
            </w14:solidFill>
          </w14:textFill>
        </w:rPr>
        <w:t>根据《中华人民共和国环境保护法》、《建设项目竣工环境保护验收暂行办法》的要求，</w:t>
      </w:r>
      <w:r>
        <w:rPr>
          <w:rFonts w:ascii="Times New Roman" w:hAnsi="Times New Roman" w:eastAsiaTheme="minorEastAsia"/>
          <w:color w:val="000000" w:themeColor="text1"/>
          <w:kern w:val="2"/>
          <w:sz w:val="24"/>
          <w:szCs w:val="24"/>
          <w:lang w:val="zh-CN"/>
          <w14:textFill>
            <w14:solidFill>
              <w14:schemeClr w14:val="tx1"/>
            </w14:solidFill>
          </w14:textFill>
        </w:rPr>
        <w:t>2019</w:t>
      </w:r>
      <w:r>
        <w:rPr>
          <w:rFonts w:ascii="Times New Roman" w:hAnsiTheme="minorEastAsia" w:eastAsiaTheme="minorEastAsia"/>
          <w:color w:val="000000" w:themeColor="text1"/>
          <w:kern w:val="2"/>
          <w:sz w:val="24"/>
          <w:szCs w:val="24"/>
          <w:lang w:val="zh-CN"/>
          <w14:textFill>
            <w14:solidFill>
              <w14:schemeClr w14:val="tx1"/>
            </w14:solidFill>
          </w14:textFill>
        </w:rPr>
        <w:t>年</w:t>
      </w:r>
      <w:r>
        <w:rPr>
          <w:rFonts w:hint="eastAsia" w:ascii="Times New Roman" w:hAnsi="Times New Roman" w:eastAsiaTheme="minorEastAsia"/>
          <w:color w:val="000000" w:themeColor="text1"/>
          <w:kern w:val="2"/>
          <w:sz w:val="24"/>
          <w:szCs w:val="24"/>
          <w:lang w:val="en-US" w:eastAsia="zh-CN"/>
          <w14:textFill>
            <w14:solidFill>
              <w14:schemeClr w14:val="tx1"/>
            </w14:solidFill>
          </w14:textFill>
        </w:rPr>
        <w:t>9</w:t>
      </w:r>
      <w:r>
        <w:rPr>
          <w:rFonts w:ascii="Times New Roman" w:hAnsiTheme="minorEastAsia" w:eastAsiaTheme="minorEastAsia"/>
          <w:color w:val="000000" w:themeColor="text1"/>
          <w:kern w:val="2"/>
          <w:sz w:val="24"/>
          <w:szCs w:val="24"/>
          <w:lang w:val="zh-CN"/>
          <w14:textFill>
            <w14:solidFill>
              <w14:schemeClr w14:val="tx1"/>
            </w14:solidFill>
          </w14:textFill>
        </w:rPr>
        <w:t>月，受中国石油化工股份有限公司胜利油田分公司</w:t>
      </w:r>
      <w:r>
        <w:rPr>
          <w:rFonts w:hint="eastAsia" w:ascii="Times New Roman" w:hAnsiTheme="minorEastAsia" w:eastAsiaTheme="minorEastAsia"/>
          <w:color w:val="000000" w:themeColor="text1"/>
          <w:kern w:val="2"/>
          <w:sz w:val="24"/>
          <w:szCs w:val="24"/>
          <w:lang w:val="en-US" w:eastAsia="zh-CN"/>
          <w14:textFill>
            <w14:solidFill>
              <w14:schemeClr w14:val="tx1"/>
            </w14:solidFill>
          </w14:textFill>
        </w:rPr>
        <w:t>河口</w:t>
      </w:r>
      <w:r>
        <w:rPr>
          <w:rFonts w:ascii="Times New Roman" w:hAnsiTheme="minorEastAsia" w:eastAsiaTheme="minorEastAsia"/>
          <w:color w:val="000000" w:themeColor="text1"/>
          <w:kern w:val="2"/>
          <w:sz w:val="24"/>
          <w:szCs w:val="24"/>
          <w:lang w:val="zh-CN"/>
          <w14:textFill>
            <w14:solidFill>
              <w14:schemeClr w14:val="tx1"/>
            </w14:solidFill>
          </w14:textFill>
        </w:rPr>
        <w:t>采油厂的委托，东营市胜丰职业卫生检测评价有限责任公司承担了该工程环境保护验收调查表的编制工作。</w:t>
      </w:r>
    </w:p>
    <w:p>
      <w:pPr>
        <w:pStyle w:val="25"/>
        <w:adjustRightInd w:val="0"/>
        <w:snapToGrid w:val="0"/>
        <w:ind w:firstLine="482" w:firstLineChars="0"/>
        <w:jc w:val="both"/>
        <w:rPr>
          <w:rFonts w:hint="eastAsia"/>
          <w:bCs/>
          <w:color w:val="000000"/>
          <w:sz w:val="24"/>
        </w:rPr>
      </w:pPr>
      <w:r>
        <w:rPr>
          <w:rFonts w:ascii="Times New Roman" w:hAnsiTheme="minorEastAsia" w:eastAsiaTheme="minorEastAsia"/>
          <w:color w:val="000000" w:themeColor="text1"/>
          <w:sz w:val="24"/>
          <w:szCs w:val="24"/>
          <w14:textFill>
            <w14:solidFill>
              <w14:schemeClr w14:val="tx1"/>
            </w14:solidFill>
          </w14:textFill>
        </w:rPr>
        <w:t>东营市胜丰职业卫生检测评价有限责任公司于</w:t>
      </w:r>
      <w:r>
        <w:rPr>
          <w:rFonts w:ascii="Times New Roman" w:hAnsi="Times New Roman" w:eastAsiaTheme="minorEastAsia"/>
          <w:color w:val="000000" w:themeColor="text1"/>
          <w:sz w:val="24"/>
          <w:szCs w:val="24"/>
          <w14:textFill>
            <w14:solidFill>
              <w14:schemeClr w14:val="tx1"/>
            </w14:solidFill>
          </w14:textFill>
        </w:rPr>
        <w:t>2019</w:t>
      </w:r>
      <w:r>
        <w:rPr>
          <w:rFonts w:ascii="Times New Roman" w:hAnsiTheme="minorEastAsia" w:eastAsiaTheme="minorEastAsia"/>
          <w:color w:val="000000" w:themeColor="text1"/>
          <w:sz w:val="24"/>
          <w:szCs w:val="24"/>
          <w14:textFill>
            <w14:solidFill>
              <w14:schemeClr w14:val="tx1"/>
            </w14:solidFill>
          </w14:textFill>
        </w:rPr>
        <w:t>年</w:t>
      </w:r>
      <w:r>
        <w:rPr>
          <w:rFonts w:hint="eastAsia" w:ascii="Times New Roman" w:hAnsiTheme="minorEastAsia" w:eastAsiaTheme="minorEastAsia"/>
          <w:color w:val="000000" w:themeColor="text1"/>
          <w:sz w:val="24"/>
          <w:szCs w:val="24"/>
          <w:lang w:val="en-US" w:eastAsia="zh-CN"/>
          <w14:textFill>
            <w14:solidFill>
              <w14:schemeClr w14:val="tx1"/>
            </w14:solidFill>
          </w14:textFill>
        </w:rPr>
        <w:t>9</w:t>
      </w:r>
      <w:r>
        <w:rPr>
          <w:rFonts w:ascii="Times New Roman" w:hAnsiTheme="minorEastAsia" w:eastAsiaTheme="minorEastAsia"/>
          <w:color w:val="000000" w:themeColor="text1"/>
          <w:sz w:val="24"/>
          <w:szCs w:val="24"/>
          <w14:textFill>
            <w14:solidFill>
              <w14:schemeClr w14:val="tx1"/>
            </w14:solidFill>
          </w14:textFill>
        </w:rPr>
        <w:t>月安排人员到现场进行了现场勘查和资料收集，查阅了有关文件和技术资料，查看了污染物治理和排放、环保措施的落实情况。根据调查结果，东营市胜丰职业卫生检测评价有限责任公司于</w:t>
      </w:r>
      <w:r>
        <w:rPr>
          <w:rFonts w:ascii="Times New Roman" w:hAnsi="Times New Roman" w:eastAsiaTheme="minorEastAsia"/>
          <w:color w:val="000000" w:themeColor="text1"/>
          <w:sz w:val="24"/>
          <w:szCs w:val="24"/>
          <w14:textFill>
            <w14:solidFill>
              <w14:schemeClr w14:val="tx1"/>
            </w14:solidFill>
          </w14:textFill>
        </w:rPr>
        <w:t>20</w:t>
      </w:r>
      <w:r>
        <w:rPr>
          <w:rFonts w:hint="eastAsia" w:ascii="Times New Roman" w:hAnsi="Times New Roman" w:eastAsiaTheme="minorEastAsia"/>
          <w:color w:val="000000" w:themeColor="text1"/>
          <w:sz w:val="24"/>
          <w:szCs w:val="24"/>
          <w:lang w:val="en-US" w:eastAsia="zh-CN"/>
          <w14:textFill>
            <w14:solidFill>
              <w14:schemeClr w14:val="tx1"/>
            </w14:solidFill>
          </w14:textFill>
        </w:rPr>
        <w:t>20</w:t>
      </w:r>
      <w:r>
        <w:rPr>
          <w:rFonts w:ascii="Times New Roman" w:hAnsiTheme="minorEastAsia" w:eastAsiaTheme="minorEastAsia"/>
          <w:color w:val="000000" w:themeColor="text1"/>
          <w:sz w:val="24"/>
          <w:szCs w:val="24"/>
          <w14:textFill>
            <w14:solidFill>
              <w14:schemeClr w14:val="tx1"/>
            </w14:solidFill>
          </w14:textFill>
        </w:rPr>
        <w:t>年</w:t>
      </w:r>
      <w:r>
        <w:rPr>
          <w:rFonts w:hint="eastAsia" w:ascii="Times New Roman" w:hAnsi="Times New Roman" w:eastAsiaTheme="minorEastAsia"/>
          <w:color w:val="000000" w:themeColor="text1"/>
          <w:sz w:val="24"/>
          <w:szCs w:val="24"/>
          <w:lang w:val="en-US" w:eastAsia="zh-CN"/>
          <w14:textFill>
            <w14:solidFill>
              <w14:schemeClr w14:val="tx1"/>
            </w14:solidFill>
          </w14:textFill>
        </w:rPr>
        <w:t>8</w:t>
      </w:r>
      <w:r>
        <w:rPr>
          <w:rFonts w:ascii="Times New Roman" w:hAnsiTheme="minorEastAsia" w:eastAsiaTheme="minorEastAsia"/>
          <w:color w:val="000000" w:themeColor="text1"/>
          <w:sz w:val="24"/>
          <w:szCs w:val="24"/>
          <w14:textFill>
            <w14:solidFill>
              <w14:schemeClr w14:val="tx1"/>
            </w14:solidFill>
          </w14:textFill>
        </w:rPr>
        <w:t>月编写完成了</w:t>
      </w:r>
      <w:r>
        <w:rPr>
          <w:rFonts w:hint="eastAsia"/>
          <w:bCs/>
          <w:color w:val="000000"/>
          <w:sz w:val="24"/>
        </w:rPr>
        <w:t>《</w:t>
      </w:r>
      <w:r>
        <w:rPr>
          <w:rFonts w:hint="eastAsia" w:ascii="Times New Roman" w:hAnsi="Times New Roman" w:eastAsia="宋体" w:cs="Times New Roman"/>
          <w:color w:val="000000"/>
          <w:kern w:val="0"/>
          <w:sz w:val="24"/>
          <w:szCs w:val="24"/>
          <w:lang w:val="en-US" w:eastAsia="zh-CN" w:bidi="ar"/>
        </w:rPr>
        <w:t>河口采油厂埕东油田埕南12-平11块产能建设工程</w:t>
      </w:r>
      <w:r>
        <w:rPr>
          <w:rFonts w:hint="eastAsia"/>
          <w:bCs/>
          <w:color w:val="000000"/>
          <w:sz w:val="24"/>
        </w:rPr>
        <w:t>竣工环境保护验收调查表》。</w:t>
      </w:r>
    </w:p>
    <w:p>
      <w:pPr>
        <w:pStyle w:val="25"/>
        <w:adjustRightInd w:val="0"/>
        <w:snapToGrid w:val="0"/>
        <w:ind w:firstLine="482" w:firstLineChars="0"/>
        <w:jc w:val="both"/>
        <w:rPr>
          <w:rFonts w:hint="eastAsia"/>
          <w:bCs/>
          <w:color w:val="000000"/>
          <w:sz w:val="24"/>
        </w:rPr>
      </w:pPr>
      <w:r>
        <w:rPr>
          <w:rFonts w:hint="eastAsia"/>
          <w:bCs/>
          <w:color w:val="000000"/>
          <w:sz w:val="24"/>
        </w:rPr>
        <w:t>2020年8月7日，胜利油田分公司河口采油厂组织验收工作组对河口采油厂埕东油田埕南12-平11块产能建设工程项目验收调查报告进行了审查，并对项目现场进行了检查，出具了验收专家意见。针对验收工作组提出的问题，采油厂组织进行了整改。经验收工作组专业技术专家对整改情况进行了复核，认为项目能够满足竣工环境保护验收要求。</w:t>
      </w:r>
    </w:p>
    <w:p>
      <w:pPr>
        <w:pStyle w:val="2"/>
        <w:ind w:left="0" w:leftChars="0" w:firstLine="0" w:firstLineChars="0"/>
        <w:jc w:val="both"/>
        <w:rPr>
          <w:rFonts w:hint="default" w:ascii="Times New Roman" w:hAnsi="Times New Roman" w:eastAsia="宋体" w:cs="Times New Roman"/>
          <w:b/>
          <w:bCs/>
          <w:color w:val="000000"/>
          <w:kern w:val="0"/>
          <w:sz w:val="32"/>
          <w:szCs w:val="32"/>
          <w:lang w:val="en-US" w:eastAsia="zh-CN" w:bidi="ar"/>
        </w:rPr>
      </w:pPr>
      <w:r>
        <w:rPr>
          <w:rFonts w:hint="default" w:ascii="Times New Roman" w:hAnsi="Times New Roman" w:eastAsia="宋体" w:cs="Times New Roman"/>
          <w:b/>
          <w:bCs/>
          <w:color w:val="000000"/>
          <w:kern w:val="0"/>
          <w:sz w:val="32"/>
          <w:szCs w:val="32"/>
          <w:lang w:val="en-US" w:eastAsia="zh-CN" w:bidi="ar"/>
        </w:rPr>
        <w:t>2信息公开和公众意见反馈</w:t>
      </w:r>
    </w:p>
    <w:p>
      <w:pPr>
        <w:pStyle w:val="2"/>
        <w:ind w:left="0" w:leftChars="0" w:firstLine="0" w:firstLineChars="0"/>
        <w:jc w:val="both"/>
        <w:rPr>
          <w:rFonts w:hint="eastAsia" w:ascii="Times New Roman" w:hAnsi="Times New Roman" w:eastAsia="宋体" w:cs="Times New Roman"/>
          <w:b/>
          <w:bCs/>
          <w:color w:val="000000"/>
          <w:kern w:val="0"/>
          <w:sz w:val="28"/>
          <w:szCs w:val="28"/>
          <w:lang w:val="en-US" w:eastAsia="zh-CN" w:bidi="ar"/>
        </w:rPr>
      </w:pPr>
      <w:r>
        <w:rPr>
          <w:rFonts w:hint="eastAsia" w:ascii="Times New Roman" w:hAnsi="Times New Roman" w:eastAsia="宋体" w:cs="Times New Roman"/>
          <w:b/>
          <w:bCs/>
          <w:color w:val="000000"/>
          <w:kern w:val="0"/>
          <w:sz w:val="28"/>
          <w:szCs w:val="28"/>
          <w:lang w:val="en-US" w:eastAsia="zh-CN" w:bidi="ar"/>
        </w:rPr>
        <w:t>2.1信息公开</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imes New Roman" w:hAnsi="Times New Roman" w:eastAsia="宋体" w:cs="Times New Roman"/>
          <w:b w:val="0"/>
          <w:bCs w:val="0"/>
          <w:color w:val="000000"/>
          <w:kern w:val="0"/>
          <w:sz w:val="24"/>
          <w:szCs w:val="24"/>
          <w:lang w:val="en-US" w:eastAsia="zh-CN" w:bidi="ar"/>
        </w:rPr>
      </w:pPr>
      <w:r>
        <w:rPr>
          <w:rFonts w:hint="eastAsia" w:ascii="Times New Roman" w:hAnsi="Times New Roman" w:eastAsia="宋体" w:cs="Times New Roman"/>
          <w:b w:val="0"/>
          <w:bCs w:val="0"/>
          <w:color w:val="000000"/>
          <w:kern w:val="0"/>
          <w:sz w:val="24"/>
          <w:szCs w:val="24"/>
          <w:lang w:val="en-US" w:eastAsia="zh-CN" w:bidi="ar"/>
        </w:rPr>
        <w:t>2019年9月11日，胜利油田河口采油厂对该工程的竣工日期和调试起止日期进行了网上公示（http://slof.sinopec.com/slof/）。</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both"/>
        <w:textAlignment w:val="auto"/>
        <w:rPr>
          <w:rFonts w:hint="eastAsia" w:ascii="Times New Roman" w:hAnsi="Times New Roman" w:eastAsia="宋体" w:cs="Times New Roman"/>
          <w:b/>
          <w:bCs/>
          <w:color w:val="000000"/>
          <w:kern w:val="0"/>
          <w:sz w:val="28"/>
          <w:szCs w:val="28"/>
          <w:lang w:val="en-US" w:eastAsia="zh-CN" w:bidi="ar"/>
        </w:rPr>
      </w:pPr>
      <w:r>
        <w:rPr>
          <w:rFonts w:hint="eastAsia" w:ascii="Times New Roman" w:hAnsi="Times New Roman" w:eastAsia="宋体" w:cs="Times New Roman"/>
          <w:b/>
          <w:bCs/>
          <w:color w:val="000000"/>
          <w:kern w:val="0"/>
          <w:sz w:val="28"/>
          <w:szCs w:val="28"/>
          <w:lang w:val="en-US" w:eastAsia="zh-CN" w:bidi="ar"/>
        </w:rPr>
        <w:t>2.2公众参与渠道</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根据本项目特点和实际建设情况，建设单位采用电话和网站回复的方式收集公众意见和建议。</w:t>
      </w:r>
    </w:p>
    <w:p>
      <w:pPr>
        <w:pStyle w:val="2"/>
        <w:ind w:left="0" w:leftChars="0" w:firstLine="0" w:firstLineChars="0"/>
        <w:jc w:val="both"/>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2.3公众意见处理</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河口采油厂承诺会严格记录公众反馈意见或投诉、收到时间、渠道以及反馈或投诉的内容，并及时处理或解决公众意见，给出采纳与否的情况说明。</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b/>
          <w:bCs/>
          <w:sz w:val="28"/>
          <w:szCs w:val="28"/>
          <w:lang w:val="en-US" w:eastAsia="zh-CN"/>
        </w:rPr>
      </w:pPr>
      <w:r>
        <w:rPr>
          <w:rFonts w:hint="eastAsia" w:ascii="宋体" w:hAnsi="宋体" w:eastAsia="宋体" w:cs="宋体"/>
          <w:color w:val="000000"/>
          <w:kern w:val="0"/>
          <w:sz w:val="24"/>
          <w:szCs w:val="24"/>
          <w:lang w:val="en-US" w:eastAsia="zh-CN" w:bidi="ar"/>
        </w:rPr>
        <w:t>本项目建设过程、验收调查期间未收到公众意见或投诉，表明公众支持该项目的建设和运营。</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ascii="Times New Roman" w:hAnsi="Times New Roman" w:eastAsia="宋体"/>
          <w:b/>
          <w:bCs/>
          <w:sz w:val="32"/>
          <w:szCs w:val="32"/>
        </w:rPr>
      </w:pPr>
      <w:r>
        <w:rPr>
          <w:rFonts w:hint="eastAsia" w:ascii="Times New Roman" w:hAnsi="Times New Roman" w:eastAsia="宋体"/>
          <w:b/>
          <w:bCs/>
          <w:sz w:val="32"/>
          <w:szCs w:val="32"/>
          <w:lang w:val="en-US" w:eastAsia="zh-CN"/>
        </w:rPr>
        <w:t>3</w:t>
      </w:r>
      <w:r>
        <w:rPr>
          <w:rFonts w:ascii="Times New Roman" w:hAnsi="Times New Roman" w:eastAsia="宋体"/>
          <w:b/>
          <w:bCs/>
          <w:sz w:val="32"/>
          <w:szCs w:val="32"/>
        </w:rPr>
        <w:t>其他环境保护措施的落实情况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ascii="Times New Roman" w:hAnsi="Times New Roman" w:eastAsia="宋体"/>
          <w:b/>
          <w:bCs/>
          <w:sz w:val="28"/>
          <w:szCs w:val="28"/>
        </w:rPr>
      </w:pPr>
      <w:r>
        <w:rPr>
          <w:rFonts w:hint="eastAsia" w:ascii="Times New Roman" w:hAnsi="Times New Roman" w:eastAsia="宋体"/>
          <w:b/>
          <w:bCs/>
          <w:sz w:val="28"/>
          <w:szCs w:val="28"/>
          <w:lang w:val="en-US" w:eastAsia="zh-CN"/>
        </w:rPr>
        <w:t>3</w:t>
      </w:r>
      <w:r>
        <w:rPr>
          <w:rFonts w:ascii="Times New Roman" w:hAnsi="Times New Roman" w:eastAsia="宋体"/>
          <w:b/>
          <w:bCs/>
          <w:sz w:val="28"/>
          <w:szCs w:val="28"/>
        </w:rPr>
        <w:t>.1制度措施落实情况</w:t>
      </w:r>
    </w:p>
    <w:p>
      <w:pPr>
        <w:keepNext w:val="0"/>
        <w:keepLines w:val="0"/>
        <w:pageBreakBefore w:val="0"/>
        <w:kinsoku/>
        <w:wordWrap/>
        <w:overflowPunct/>
        <w:topLinePunct w:val="0"/>
        <w:autoSpaceDE/>
        <w:autoSpaceDN/>
        <w:bidi w:val="0"/>
        <w:adjustRightInd w:val="0"/>
        <w:snapToGrid w:val="0"/>
        <w:spacing w:after="0" w:line="360" w:lineRule="auto"/>
        <w:ind w:firstLine="482" w:firstLineChars="200"/>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3.1.1</w:t>
      </w:r>
      <w:r>
        <w:rPr>
          <w:rFonts w:hint="default" w:ascii="Times New Roman" w:hAnsi="Times New Roman" w:eastAsia="宋体" w:cs="Times New Roman"/>
          <w:b/>
          <w:bCs/>
          <w:sz w:val="24"/>
          <w:szCs w:val="24"/>
        </w:rPr>
        <w:t>环保组织机构</w:t>
      </w:r>
    </w:p>
    <w:p>
      <w:pPr>
        <w:widowControl w:val="0"/>
        <w:spacing w:after="0" w:line="360" w:lineRule="auto"/>
        <w:ind w:firstLine="480" w:firstLineChars="200"/>
        <w:jc w:val="both"/>
        <w:rPr>
          <w:rFonts w:ascii="Times New Roman" w:hAnsi="Times New Roman"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lang w:val="en-US" w:eastAsia="zh-CN"/>
          <w14:textFill>
            <w14:solidFill>
              <w14:schemeClr w14:val="tx1"/>
            </w14:solidFill>
          </w14:textFill>
        </w:rPr>
        <w:t>河口</w:t>
      </w:r>
      <w:r>
        <w:rPr>
          <w:rFonts w:ascii="Times New Roman" w:hAnsiTheme="minorEastAsia" w:eastAsiaTheme="minorEastAsia"/>
          <w:color w:val="000000" w:themeColor="text1"/>
          <w:sz w:val="24"/>
          <w:szCs w:val="24"/>
          <w14:textFill>
            <w14:solidFill>
              <w14:schemeClr w14:val="tx1"/>
            </w14:solidFill>
          </w14:textFill>
        </w:rPr>
        <w:t>采油厂</w:t>
      </w:r>
      <w:r>
        <w:rPr>
          <w:rFonts w:ascii="Times New Roman" w:hAnsi="Times New Roman" w:eastAsiaTheme="minorEastAsia"/>
          <w:color w:val="000000" w:themeColor="text1"/>
          <w:sz w:val="24"/>
          <w:szCs w:val="24"/>
          <w14:textFill>
            <w14:solidFill>
              <w14:schemeClr w14:val="tx1"/>
            </w14:solidFill>
          </w14:textFill>
        </w:rPr>
        <w:t>QHS</w:t>
      </w:r>
      <w:r>
        <w:rPr>
          <w:rFonts w:hint="eastAsia" w:ascii="Times New Roman" w:hAnsi="Times New Roman" w:eastAsiaTheme="minorEastAsia"/>
          <w:color w:val="000000" w:themeColor="text1"/>
          <w:sz w:val="24"/>
          <w:szCs w:val="24"/>
          <w:lang w:val="en-US" w:eastAsia="zh-CN"/>
          <w14:textFill>
            <w14:solidFill>
              <w14:schemeClr w14:val="tx1"/>
            </w14:solidFill>
          </w14:textFill>
        </w:rPr>
        <w:t>S</w:t>
      </w:r>
      <w:r>
        <w:rPr>
          <w:rFonts w:ascii="Times New Roman" w:hAnsi="Times New Roman" w:eastAsiaTheme="minorEastAsia"/>
          <w:color w:val="000000" w:themeColor="text1"/>
          <w:sz w:val="24"/>
          <w:szCs w:val="24"/>
          <w14:textFill>
            <w14:solidFill>
              <w14:schemeClr w14:val="tx1"/>
            </w14:solidFill>
          </w14:textFill>
        </w:rPr>
        <w:t>E</w:t>
      </w:r>
      <w:r>
        <w:rPr>
          <w:rFonts w:ascii="Times New Roman" w:hAnsiTheme="minorEastAsia" w:eastAsiaTheme="minorEastAsia"/>
          <w:color w:val="000000" w:themeColor="text1"/>
          <w:sz w:val="24"/>
          <w:szCs w:val="24"/>
          <w14:textFill>
            <w14:solidFill>
              <w14:schemeClr w14:val="tx1"/>
            </w14:solidFill>
          </w14:textFill>
        </w:rPr>
        <w:t>管理</w:t>
      </w:r>
      <w:r>
        <w:rPr>
          <w:rFonts w:hint="eastAsia" w:ascii="Times New Roman" w:hAnsiTheme="minorEastAsia" w:eastAsiaTheme="minorEastAsia"/>
          <w:color w:val="000000" w:themeColor="text1"/>
          <w:sz w:val="24"/>
          <w:szCs w:val="24"/>
          <w:lang w:val="en-US" w:eastAsia="zh-CN"/>
          <w14:textFill>
            <w14:solidFill>
              <w14:schemeClr w14:val="tx1"/>
            </w14:solidFill>
          </w14:textFill>
        </w:rPr>
        <w:t>部</w:t>
      </w:r>
      <w:r>
        <w:rPr>
          <w:rFonts w:ascii="Times New Roman" w:hAnsiTheme="minorEastAsia" w:eastAsiaTheme="minorEastAsia"/>
          <w:color w:val="000000" w:themeColor="text1"/>
          <w:sz w:val="24"/>
          <w:szCs w:val="24"/>
          <w14:textFill>
            <w14:solidFill>
              <w14:schemeClr w14:val="tx1"/>
            </w14:solidFill>
          </w14:textFill>
        </w:rPr>
        <w:t>负责全</w:t>
      </w:r>
      <w:r>
        <w:rPr>
          <w:rFonts w:hint="eastAsia" w:ascii="Times New Roman" w:hAnsiTheme="minorEastAsia" w:eastAsiaTheme="minorEastAsia"/>
          <w:color w:val="000000" w:themeColor="text1"/>
          <w:sz w:val="24"/>
          <w:szCs w:val="24"/>
          <w:lang w:val="en-US" w:eastAsia="zh-CN"/>
          <w14:textFill>
            <w14:solidFill>
              <w14:schemeClr w14:val="tx1"/>
            </w14:solidFill>
          </w14:textFill>
        </w:rPr>
        <w:t>厂</w:t>
      </w:r>
      <w:r>
        <w:rPr>
          <w:rFonts w:ascii="Times New Roman" w:hAnsiTheme="minorEastAsia" w:eastAsiaTheme="minorEastAsia"/>
          <w:color w:val="000000" w:themeColor="text1"/>
          <w:sz w:val="24"/>
          <w:szCs w:val="24"/>
          <w14:textFill>
            <w14:solidFill>
              <w14:schemeClr w14:val="tx1"/>
            </w14:solidFill>
          </w14:textFill>
        </w:rPr>
        <w:t>环保专业技术综合管理，机关各业务部门按各自环保管理职责负责分管业务范围内的环保管理。采油厂所属各单位、直属单位按采油厂环保管理实施细则负责本单位环保管理。</w:t>
      </w:r>
    </w:p>
    <w:p>
      <w:pPr>
        <w:widowControl w:val="0"/>
        <w:spacing w:after="0" w:line="360" w:lineRule="auto"/>
        <w:ind w:firstLine="480" w:firstLineChars="200"/>
        <w:jc w:val="both"/>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在施工期，项目管理部门设置专门的环保岗位，配备一名环保专业人员，负责监督各项环保措施的落实及环保工程的检查和预验收，负责协调与环保、土地等部门的关系，以及负责有关环保文件、技术资料的收集建档。由项目经理部委托工程监理单位，监督设计单位和施工单位具体落实设计中环保工程和环境影响报告表提出环保措施的实施。</w:t>
      </w:r>
    </w:p>
    <w:p>
      <w:pPr>
        <w:widowControl w:val="0"/>
        <w:spacing w:after="0" w:line="360" w:lineRule="auto"/>
        <w:ind w:firstLine="480" w:firstLineChars="200"/>
        <w:jc w:val="both"/>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在生产运营期，由</w:t>
      </w:r>
      <w:r>
        <w:rPr>
          <w:rFonts w:hint="eastAsia" w:ascii="Times New Roman" w:hAnsiTheme="minorEastAsia" w:eastAsiaTheme="minorEastAsia"/>
          <w:color w:val="000000" w:themeColor="text1"/>
          <w:sz w:val="24"/>
          <w:szCs w:val="24"/>
          <w:lang w:val="en-US" w:eastAsia="zh-CN"/>
          <w14:textFill>
            <w14:solidFill>
              <w14:schemeClr w14:val="tx1"/>
            </w14:solidFill>
          </w14:textFill>
        </w:rPr>
        <w:t>河口</w:t>
      </w:r>
      <w:r>
        <w:rPr>
          <w:rFonts w:ascii="Times New Roman" w:hAnsiTheme="minorEastAsia" w:eastAsiaTheme="minorEastAsia"/>
          <w:color w:val="000000" w:themeColor="text1"/>
          <w:sz w:val="24"/>
          <w:szCs w:val="24"/>
          <w14:textFill>
            <w14:solidFill>
              <w14:schemeClr w14:val="tx1"/>
            </w14:solidFill>
          </w14:textFill>
        </w:rPr>
        <w:t>采油厂</w:t>
      </w:r>
      <w:r>
        <w:rPr>
          <w:rFonts w:ascii="Times New Roman" w:hAnsi="Times New Roman" w:eastAsiaTheme="minorEastAsia"/>
          <w:color w:val="000000" w:themeColor="text1"/>
          <w:sz w:val="24"/>
          <w:szCs w:val="24"/>
          <w14:textFill>
            <w14:solidFill>
              <w14:schemeClr w14:val="tx1"/>
            </w14:solidFill>
          </w14:textFill>
        </w:rPr>
        <w:t>QHS</w:t>
      </w:r>
      <w:r>
        <w:rPr>
          <w:rFonts w:hint="eastAsia" w:ascii="Times New Roman" w:hAnsi="Times New Roman" w:eastAsiaTheme="minorEastAsia"/>
          <w:color w:val="000000" w:themeColor="text1"/>
          <w:sz w:val="24"/>
          <w:szCs w:val="24"/>
          <w:lang w:val="en-US" w:eastAsia="zh-CN"/>
          <w14:textFill>
            <w14:solidFill>
              <w14:schemeClr w14:val="tx1"/>
            </w14:solidFill>
          </w14:textFill>
        </w:rPr>
        <w:t>S</w:t>
      </w:r>
      <w:r>
        <w:rPr>
          <w:rFonts w:ascii="Times New Roman" w:hAnsi="Times New Roman" w:eastAsiaTheme="minorEastAsia"/>
          <w:color w:val="000000" w:themeColor="text1"/>
          <w:sz w:val="24"/>
          <w:szCs w:val="24"/>
          <w14:textFill>
            <w14:solidFill>
              <w14:schemeClr w14:val="tx1"/>
            </w14:solidFill>
          </w14:textFill>
        </w:rPr>
        <w:t>E</w:t>
      </w:r>
      <w:r>
        <w:rPr>
          <w:rFonts w:ascii="Times New Roman" w:hAnsiTheme="minorEastAsia" w:eastAsiaTheme="minorEastAsia"/>
          <w:color w:val="000000" w:themeColor="text1"/>
          <w:sz w:val="24"/>
          <w:szCs w:val="24"/>
          <w14:textFill>
            <w14:solidFill>
              <w14:schemeClr w14:val="tx1"/>
            </w14:solidFill>
          </w14:textFill>
        </w:rPr>
        <w:t>管理</w:t>
      </w:r>
      <w:r>
        <w:rPr>
          <w:rFonts w:hint="eastAsia" w:ascii="Times New Roman" w:hAnsiTheme="minorEastAsia" w:eastAsiaTheme="minorEastAsia"/>
          <w:color w:val="000000" w:themeColor="text1"/>
          <w:sz w:val="24"/>
          <w:szCs w:val="24"/>
          <w:lang w:val="en-US" w:eastAsia="zh-CN"/>
          <w14:textFill>
            <w14:solidFill>
              <w14:schemeClr w14:val="tx1"/>
            </w14:solidFill>
          </w14:textFill>
        </w:rPr>
        <w:t>部</w:t>
      </w:r>
      <w:r>
        <w:rPr>
          <w:rFonts w:ascii="Times New Roman" w:hAnsiTheme="minorEastAsia" w:eastAsiaTheme="minorEastAsia"/>
          <w:color w:val="000000" w:themeColor="text1"/>
          <w:sz w:val="24"/>
          <w:szCs w:val="24"/>
          <w14:textFill>
            <w14:solidFill>
              <w14:schemeClr w14:val="tx1"/>
            </w14:solidFill>
          </w14:textFill>
        </w:rPr>
        <w:t>统一负责本项目的环保管理工作，在井区内设置专职环保员，负责环保文件和技术资料的归档，协助进行环保工程的验收，负责运营期间的环境监测、事故防范和外部协调工作。</w:t>
      </w:r>
    </w:p>
    <w:p>
      <w:pPr>
        <w:keepNext w:val="0"/>
        <w:keepLines w:val="0"/>
        <w:pageBreakBefore w:val="0"/>
        <w:kinsoku/>
        <w:wordWrap/>
        <w:overflowPunct/>
        <w:topLinePunct w:val="0"/>
        <w:autoSpaceDE/>
        <w:autoSpaceDN/>
        <w:bidi w:val="0"/>
        <w:adjustRightInd w:val="0"/>
        <w:snapToGrid w:val="0"/>
        <w:spacing w:after="0" w:line="360" w:lineRule="auto"/>
        <w:ind w:firstLine="482" w:firstLineChars="200"/>
        <w:jc w:val="both"/>
        <w:textAlignment w:val="auto"/>
        <w:rPr>
          <w:rFonts w:ascii="Times New Roman" w:hAnsi="Times New Roman" w:eastAsia="宋体"/>
          <w:b/>
          <w:bCs/>
          <w:sz w:val="24"/>
          <w:szCs w:val="24"/>
        </w:rPr>
      </w:pPr>
      <w:r>
        <w:rPr>
          <w:rFonts w:hint="eastAsia" w:ascii="Times New Roman" w:hAnsi="Times New Roman" w:eastAsia="宋体"/>
          <w:b/>
          <w:bCs/>
          <w:sz w:val="24"/>
          <w:szCs w:val="24"/>
          <w:lang w:val="en-US" w:eastAsia="zh-CN"/>
        </w:rPr>
        <w:t>3.1.2</w:t>
      </w:r>
      <w:r>
        <w:rPr>
          <w:rFonts w:hint="eastAsia" w:ascii="Times New Roman" w:hAnsi="Times New Roman" w:eastAsia="宋体"/>
          <w:b/>
          <w:bCs/>
          <w:sz w:val="24"/>
          <w:szCs w:val="24"/>
        </w:rPr>
        <w:t>环境风险防范措施</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项目的风险事故主要是集油管线穿孔、破裂造成的泄漏事故，经调查，建设单位采取的风险防范措施有：</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（1）集油管线均涂防腐保护层，加强井场及管线巡检，及时发现问题；</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2）井口安装有RTU控制箱，负责采集油井平台管辖的井口生产数据，可上传至管理区生产指挥中心，实时监控采油数据，及时发现采油过程中出现的突发环境事件；井场内安装有监控摄像头，实时监控井场内抽油机的工作状况；</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（3）采油工定时巡检井场，观察记录设备运行情况；</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4）河口采油厂制定了《胜利油田分公司河口采油厂（利津县）突发环境事件应急预案》，该预案包括突发环境事件综合应急预案、专项应急预案以及现场处置方案，内容包含组织机构及职责、预防与预警、信息报告程序、应急处置、应急物资与装备保障等。该预案已于2020年4月26日取得东营市生态环境局利津县分局备案，备案编号370522-2020-018-M（见附件）。同时根据应急预案内容配备了应急设备、应急物资，并定期进行演练。</w:t>
      </w:r>
    </w:p>
    <w:p>
      <w:pPr>
        <w:spacing w:after="0" w:line="360" w:lineRule="auto"/>
        <w:ind w:firstLine="482" w:firstLineChars="200"/>
        <w:jc w:val="both"/>
        <w:rPr>
          <w:bCs/>
          <w:sz w:val="24"/>
          <w:lang w:val="zh-CN"/>
        </w:rPr>
      </w:pPr>
      <w:r>
        <w:rPr>
          <w:rFonts w:ascii="Times New Roman" w:hAnsi="Times New Roman" w:eastAsiaTheme="minorEastAsia"/>
          <w:b/>
          <w:bCs/>
          <w:color w:val="000000" w:themeColor="text1"/>
          <w:sz w:val="24"/>
          <w:szCs w:val="24"/>
          <w14:textFill>
            <w14:solidFill>
              <w14:schemeClr w14:val="tx1"/>
            </w14:solidFill>
          </w14:textFill>
        </w:rPr>
        <w:t>3.1.3</w:t>
      </w:r>
      <w:r>
        <w:rPr>
          <w:rFonts w:ascii="Times New Roman" w:hAnsiTheme="minorEastAsia" w:eastAsiaTheme="minorEastAsia"/>
          <w:b/>
          <w:bCs/>
          <w:color w:val="000000" w:themeColor="text1"/>
          <w:sz w:val="24"/>
          <w:szCs w:val="24"/>
          <w14:textFill>
            <w14:solidFill>
              <w14:schemeClr w14:val="tx1"/>
            </w14:solidFill>
          </w14:textFill>
        </w:rPr>
        <w:t>采取的清洁生产措施</w:t>
      </w:r>
    </w:p>
    <w:p>
      <w:pPr>
        <w:spacing w:after="0" w:line="360" w:lineRule="auto"/>
        <w:ind w:firstLine="480" w:firstLineChars="200"/>
        <w:rPr>
          <w:rFonts w:hint="default"/>
        </w:rPr>
      </w:pPr>
      <w:r>
        <w:rPr>
          <w:rFonts w:hint="eastAsia" w:ascii="Times New Roman" w:hAnsiTheme="minorEastAsia" w:eastAsiaTheme="minorEastAsia"/>
          <w:color w:val="000000" w:themeColor="text1"/>
          <w:sz w:val="24"/>
          <w:szCs w:val="24"/>
          <w14:textFill>
            <w14:solidFill>
              <w14:schemeClr w14:val="tx1"/>
            </w14:solidFill>
          </w14:textFill>
        </w:rPr>
        <w:t>本</w:t>
      </w:r>
      <w:r>
        <w:rPr>
          <w:rFonts w:ascii="Times New Roman" w:hAnsiTheme="minorEastAsia" w:eastAsiaTheme="minorEastAsia"/>
          <w:color w:val="000000" w:themeColor="text1"/>
          <w:sz w:val="24"/>
          <w:szCs w:val="24"/>
          <w14:textFill>
            <w14:solidFill>
              <w14:schemeClr w14:val="tx1"/>
            </w14:solidFill>
          </w14:textFill>
        </w:rPr>
        <w:t>项目在钻井、作业等多方面均采取了大量的清洁生产工艺装备，减少了资源、能源的消耗，削减了废弃物的产生量。按照清洁生产各项指标评定，结果说明多数指标可以达到二级以上水平，符合国家清洁生产的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hint="default" w:ascii="Times New Roman" w:hAnsi="Times New Roman" w:eastAsia="宋体"/>
          <w:b/>
          <w:bCs/>
          <w:sz w:val="28"/>
          <w:szCs w:val="28"/>
          <w:lang w:val="en-US" w:eastAsia="zh-CN"/>
        </w:rPr>
      </w:pPr>
      <w:r>
        <w:rPr>
          <w:rFonts w:hint="eastAsia" w:ascii="Times New Roman" w:hAnsi="Times New Roman" w:eastAsia="宋体"/>
          <w:b/>
          <w:bCs/>
          <w:sz w:val="28"/>
          <w:szCs w:val="28"/>
          <w:lang w:val="en-US" w:eastAsia="zh-CN"/>
        </w:rPr>
        <w:t>3.2环境保护措施落实情况</w:t>
      </w:r>
    </w:p>
    <w:p>
      <w:pPr>
        <w:spacing w:after="0" w:line="360" w:lineRule="auto"/>
        <w:ind w:firstLine="723" w:firstLineChars="300"/>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 xml:space="preserve">3.2.1 </w:t>
      </w:r>
      <w:r>
        <w:rPr>
          <w:rFonts w:ascii="Times New Roman" w:hAnsiTheme="minorEastAsia" w:eastAsiaTheme="minorEastAsia"/>
          <w:b/>
          <w:bCs/>
          <w:color w:val="000000" w:themeColor="text1"/>
          <w:sz w:val="24"/>
          <w:szCs w:val="24"/>
          <w14:textFill>
            <w14:solidFill>
              <w14:schemeClr w14:val="tx1"/>
            </w14:solidFill>
          </w14:textFill>
        </w:rPr>
        <w:t>生态环境保护措施落实情况</w:t>
      </w:r>
    </w:p>
    <w:p>
      <w:pPr>
        <w:spacing w:after="0" w:line="360" w:lineRule="auto"/>
        <w:ind w:firstLine="480" w:firstLineChars="200"/>
        <w:jc w:val="both"/>
        <w:rPr>
          <w:rFonts w:ascii="Times New Roman" w:hAnsiTheme="minorEastAsia"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本项目井场依托现有老井场，减少了新增占地。根据现场调查管线沿线原有的土地已经基本得到恢复，植被恢复措施得到落实，植被恢复效果良好，对动物的影响也随着施工期的结束而逐渐消除；井场地面和工艺装置区地面采用机械碾压方式进行了平整。项目有效落实了环评报告表所提出的生态保护要求，总体影响较小。</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jc w:val="both"/>
        <w:textAlignment w:val="auto"/>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 xml:space="preserve">3.2.2 </w:t>
      </w:r>
      <w:r>
        <w:rPr>
          <w:rFonts w:ascii="Times New Roman" w:hAnsiTheme="minorEastAsia" w:eastAsiaTheme="minorEastAsia"/>
          <w:b/>
          <w:bCs/>
          <w:color w:val="000000" w:themeColor="text1"/>
          <w:sz w:val="24"/>
          <w:szCs w:val="24"/>
          <w14:textFill>
            <w14:solidFill>
              <w14:schemeClr w14:val="tx1"/>
            </w14:solidFill>
          </w14:textFill>
        </w:rPr>
        <w:t>大气环境保护措施落实情况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Times New Roman" w:hAnsiTheme="minorEastAsia"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 xml:space="preserve">通过现场调查，本项目施工期钻井过程中，采用了柴油钻机和节能环保型柴油动力设备，并采用了高品质柴油及添加柴油助燃剂；地面施工则采取了一系列的扬尘控制措施。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Times New Roman" w:hAnsiTheme="minorEastAsia"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运营期排放的废气主要为油气集输过程无组织挥发的非甲烷总烃和加热装置燃烧废气。本项目新钻10口油井，井口均安装有套管气回收装置，油气集输过程采用密闭工艺。经监测，项目井场厂界非甲烷总烃浓度为1.48mg/m</w:t>
      </w:r>
      <w:r>
        <w:rPr>
          <w:rFonts w:hint="eastAsia" w:ascii="Times New Roman" w:hAnsiTheme="minorEastAsia" w:eastAsiaTheme="minorEastAsia"/>
          <w:color w:val="000000" w:themeColor="text1"/>
          <w:sz w:val="24"/>
          <w:szCs w:val="24"/>
          <w:vertAlign w:val="superscript"/>
          <w14:textFill>
            <w14:solidFill>
              <w14:schemeClr w14:val="tx1"/>
            </w14:solidFill>
          </w14:textFill>
        </w:rPr>
        <w:t>3</w:t>
      </w:r>
      <w:r>
        <w:rPr>
          <w:rFonts w:hint="eastAsia" w:ascii="Times New Roman" w:hAnsiTheme="minorEastAsia" w:eastAsiaTheme="minorEastAsia"/>
          <w:color w:val="000000" w:themeColor="text1"/>
          <w:sz w:val="24"/>
          <w:szCs w:val="24"/>
          <w14:textFill>
            <w14:solidFill>
              <w14:schemeClr w14:val="tx1"/>
            </w14:solidFill>
          </w14:textFill>
        </w:rPr>
        <w:t>，满足《挥发性有机物排放标准第7部分：其他行业》（DB37/2801.7-2019）中挥发性有机物厂界监控点浓度限值（2.0mg/m</w:t>
      </w:r>
      <w:r>
        <w:rPr>
          <w:rFonts w:hint="eastAsia" w:ascii="Times New Roman" w:hAnsiTheme="minorEastAsia" w:eastAsiaTheme="minorEastAsia"/>
          <w:color w:val="000000" w:themeColor="text1"/>
          <w:sz w:val="24"/>
          <w:szCs w:val="24"/>
          <w:vertAlign w:val="superscript"/>
          <w14:textFill>
            <w14:solidFill>
              <w14:schemeClr w14:val="tx1"/>
            </w14:solidFill>
          </w14:textFill>
        </w:rPr>
        <w:t>3</w:t>
      </w:r>
      <w:r>
        <w:rPr>
          <w:rFonts w:hint="eastAsia" w:ascii="Times New Roman" w:hAnsiTheme="minorEastAsia" w:eastAsiaTheme="minorEastAsia"/>
          <w:color w:val="000000" w:themeColor="text1"/>
          <w:sz w:val="24"/>
          <w:szCs w:val="24"/>
          <w14:textFill>
            <w14:solidFill>
              <w14:schemeClr w14:val="tx1"/>
            </w14:solidFill>
          </w14:textFill>
        </w:rPr>
        <w:t>）要求。项目加热装置燃用天然气，燃烧废气经10m高的排气筒排入大气。经监测，加热装置排放的燃烧废气中SO</w:t>
      </w:r>
      <w:r>
        <w:rPr>
          <w:rFonts w:hint="eastAsia" w:ascii="Times New Roman" w:hAnsiTheme="minorEastAsia" w:eastAsiaTheme="minorEastAsia"/>
          <w:color w:val="000000" w:themeColor="text1"/>
          <w:sz w:val="24"/>
          <w:szCs w:val="24"/>
          <w:vertAlign w:val="subscript"/>
          <w14:textFill>
            <w14:solidFill>
              <w14:schemeClr w14:val="tx1"/>
            </w14:solidFill>
          </w14:textFill>
        </w:rPr>
        <w:t>2</w:t>
      </w:r>
      <w:r>
        <w:rPr>
          <w:rFonts w:hint="eastAsia" w:ascii="Times New Roman" w:hAnsiTheme="minorEastAsia" w:eastAsiaTheme="minorEastAsia"/>
          <w:color w:val="000000" w:themeColor="text1"/>
          <w:sz w:val="24"/>
          <w:szCs w:val="24"/>
          <w14:textFill>
            <w14:solidFill>
              <w14:schemeClr w14:val="tx1"/>
            </w14:solidFill>
          </w14:textFill>
        </w:rPr>
        <w:t>的最大浓度为13mg/m</w:t>
      </w:r>
      <w:r>
        <w:rPr>
          <w:rFonts w:hint="eastAsia" w:ascii="Times New Roman" w:hAnsiTheme="minorEastAsia" w:eastAsiaTheme="minorEastAsia"/>
          <w:color w:val="000000" w:themeColor="text1"/>
          <w:sz w:val="24"/>
          <w:szCs w:val="24"/>
          <w:vertAlign w:val="superscript"/>
          <w14:textFill>
            <w14:solidFill>
              <w14:schemeClr w14:val="tx1"/>
            </w14:solidFill>
          </w14:textFill>
        </w:rPr>
        <w:t>3</w:t>
      </w:r>
      <w:r>
        <w:rPr>
          <w:rFonts w:hint="eastAsia" w:ascii="Times New Roman" w:hAnsiTheme="minorEastAsia" w:eastAsiaTheme="minorEastAsia"/>
          <w:color w:val="000000" w:themeColor="text1"/>
          <w:sz w:val="24"/>
          <w:szCs w:val="24"/>
          <w14:textFill>
            <w14:solidFill>
              <w14:schemeClr w14:val="tx1"/>
            </w14:solidFill>
          </w14:textFill>
        </w:rPr>
        <w:t>，NO</w:t>
      </w:r>
      <w:r>
        <w:rPr>
          <w:rFonts w:hint="eastAsia" w:ascii="Times New Roman" w:hAnsiTheme="minorEastAsia" w:eastAsiaTheme="minorEastAsia"/>
          <w:color w:val="000000" w:themeColor="text1"/>
          <w:sz w:val="24"/>
          <w:szCs w:val="24"/>
          <w:vertAlign w:val="subscript"/>
          <w14:textFill>
            <w14:solidFill>
              <w14:schemeClr w14:val="tx1"/>
            </w14:solidFill>
          </w14:textFill>
        </w:rPr>
        <w:t>X</w:t>
      </w:r>
      <w:r>
        <w:rPr>
          <w:rFonts w:hint="eastAsia" w:ascii="Times New Roman" w:hAnsiTheme="minorEastAsia" w:eastAsiaTheme="minorEastAsia"/>
          <w:color w:val="000000" w:themeColor="text1"/>
          <w:sz w:val="24"/>
          <w:szCs w:val="24"/>
          <w14:textFill>
            <w14:solidFill>
              <w14:schemeClr w14:val="tx1"/>
            </w14:solidFill>
          </w14:textFill>
        </w:rPr>
        <w:t>的最大浓度为95mg/m</w:t>
      </w:r>
      <w:r>
        <w:rPr>
          <w:rFonts w:hint="eastAsia" w:ascii="Times New Roman" w:hAnsiTheme="minorEastAsia" w:eastAsiaTheme="minorEastAsia"/>
          <w:color w:val="000000" w:themeColor="text1"/>
          <w:sz w:val="24"/>
          <w:szCs w:val="24"/>
          <w:vertAlign w:val="superscript"/>
          <w14:textFill>
            <w14:solidFill>
              <w14:schemeClr w14:val="tx1"/>
            </w14:solidFill>
          </w14:textFill>
        </w:rPr>
        <w:t>3</w:t>
      </w:r>
      <w:r>
        <w:rPr>
          <w:rFonts w:hint="eastAsia" w:ascii="Times New Roman" w:hAnsiTheme="minorEastAsia" w:eastAsiaTheme="minorEastAsia"/>
          <w:color w:val="000000" w:themeColor="text1"/>
          <w:sz w:val="24"/>
          <w:szCs w:val="24"/>
          <w14:textFill>
            <w14:solidFill>
              <w14:schemeClr w14:val="tx1"/>
            </w14:solidFill>
          </w14:textFill>
        </w:rPr>
        <w:t>，颗粒物的最大浓度为7.40mg/m</w:t>
      </w:r>
      <w:r>
        <w:rPr>
          <w:rFonts w:hint="eastAsia" w:ascii="Times New Roman" w:hAnsiTheme="minorEastAsia" w:eastAsiaTheme="minorEastAsia"/>
          <w:color w:val="000000" w:themeColor="text1"/>
          <w:sz w:val="24"/>
          <w:szCs w:val="24"/>
          <w:vertAlign w:val="superscript"/>
          <w14:textFill>
            <w14:solidFill>
              <w14:schemeClr w14:val="tx1"/>
            </w14:solidFill>
          </w14:textFill>
        </w:rPr>
        <w:t>3</w:t>
      </w:r>
      <w:r>
        <w:rPr>
          <w:rFonts w:hint="eastAsia" w:ascii="Times New Roman" w:hAnsiTheme="minorEastAsia" w:eastAsiaTheme="minorEastAsia"/>
          <w:color w:val="000000" w:themeColor="text1"/>
          <w:sz w:val="24"/>
          <w:szCs w:val="24"/>
          <w14:textFill>
            <w14:solidFill>
              <w14:schemeClr w14:val="tx1"/>
            </w14:solidFill>
          </w14:textFill>
        </w:rPr>
        <w:t>，均满足《锅炉大气污染物排放标准》（DB37/ 2374-2018）表2中“重点控制区”限值（SO</w:t>
      </w:r>
      <w:r>
        <w:rPr>
          <w:rFonts w:hint="eastAsia" w:ascii="Times New Roman" w:hAnsiTheme="minorEastAsia" w:eastAsiaTheme="minorEastAsia"/>
          <w:color w:val="000000" w:themeColor="text1"/>
          <w:sz w:val="24"/>
          <w:szCs w:val="24"/>
          <w:vertAlign w:val="subscript"/>
          <w14:textFill>
            <w14:solidFill>
              <w14:schemeClr w14:val="tx1"/>
            </w14:solidFill>
          </w14:textFill>
        </w:rPr>
        <w:t>2</w:t>
      </w:r>
      <w:r>
        <w:rPr>
          <w:rFonts w:hint="eastAsia" w:ascii="Times New Roman" w:hAnsiTheme="minorEastAsia" w:eastAsiaTheme="minorEastAsia"/>
          <w:color w:val="000000" w:themeColor="text1"/>
          <w:sz w:val="24"/>
          <w:szCs w:val="24"/>
          <w14:textFill>
            <w14:solidFill>
              <w14:schemeClr w14:val="tx1"/>
            </w14:solidFill>
          </w14:textFill>
        </w:rPr>
        <w:t>：50mg/m</w:t>
      </w:r>
      <w:r>
        <w:rPr>
          <w:rFonts w:hint="eastAsia" w:ascii="Times New Roman" w:hAnsiTheme="minorEastAsia" w:eastAsiaTheme="minorEastAsia"/>
          <w:color w:val="000000" w:themeColor="text1"/>
          <w:sz w:val="24"/>
          <w:szCs w:val="24"/>
          <w:vertAlign w:val="superscript"/>
          <w14:textFill>
            <w14:solidFill>
              <w14:schemeClr w14:val="tx1"/>
            </w14:solidFill>
          </w14:textFill>
        </w:rPr>
        <w:t>3</w:t>
      </w:r>
      <w:r>
        <w:rPr>
          <w:rFonts w:hint="eastAsia" w:ascii="Times New Roman" w:hAnsiTheme="minorEastAsia" w:eastAsiaTheme="minorEastAsia"/>
          <w:color w:val="000000" w:themeColor="text1"/>
          <w:sz w:val="24"/>
          <w:szCs w:val="24"/>
          <w14:textFill>
            <w14:solidFill>
              <w14:schemeClr w14:val="tx1"/>
            </w14:solidFill>
          </w14:textFill>
        </w:rPr>
        <w:t>，NO</w:t>
      </w:r>
      <w:r>
        <w:rPr>
          <w:rFonts w:hint="eastAsia" w:ascii="Times New Roman" w:hAnsiTheme="minorEastAsia" w:eastAsiaTheme="minorEastAsia"/>
          <w:color w:val="000000" w:themeColor="text1"/>
          <w:sz w:val="24"/>
          <w:szCs w:val="24"/>
          <w:vertAlign w:val="subscript"/>
          <w14:textFill>
            <w14:solidFill>
              <w14:schemeClr w14:val="tx1"/>
            </w14:solidFill>
          </w14:textFill>
        </w:rPr>
        <w:t>X</w:t>
      </w:r>
      <w:r>
        <w:rPr>
          <w:rFonts w:hint="eastAsia" w:ascii="Times New Roman" w:hAnsiTheme="minorEastAsia" w:eastAsiaTheme="minorEastAsia"/>
          <w:color w:val="000000" w:themeColor="text1"/>
          <w:sz w:val="24"/>
          <w:szCs w:val="24"/>
          <w14:textFill>
            <w14:solidFill>
              <w14:schemeClr w14:val="tx1"/>
            </w14:solidFill>
          </w14:textFill>
        </w:rPr>
        <w:t>：100mg/m</w:t>
      </w:r>
      <w:r>
        <w:rPr>
          <w:rFonts w:hint="eastAsia" w:ascii="Times New Roman" w:hAnsiTheme="minorEastAsia" w:eastAsiaTheme="minorEastAsia"/>
          <w:color w:val="000000" w:themeColor="text1"/>
          <w:sz w:val="24"/>
          <w:szCs w:val="24"/>
          <w:vertAlign w:val="superscript"/>
          <w14:textFill>
            <w14:solidFill>
              <w14:schemeClr w14:val="tx1"/>
            </w14:solidFill>
          </w14:textFill>
        </w:rPr>
        <w:t>3</w:t>
      </w:r>
      <w:r>
        <w:rPr>
          <w:rFonts w:hint="eastAsia" w:ascii="Times New Roman" w:hAnsiTheme="minorEastAsia" w:eastAsiaTheme="minorEastAsia"/>
          <w:color w:val="000000" w:themeColor="text1"/>
          <w:sz w:val="24"/>
          <w:szCs w:val="24"/>
          <w14:textFill>
            <w14:solidFill>
              <w14:schemeClr w14:val="tx1"/>
            </w14:solidFill>
          </w14:textFill>
        </w:rPr>
        <w:t>，烟尘：10mg/m</w:t>
      </w:r>
      <w:r>
        <w:rPr>
          <w:rFonts w:hint="eastAsia" w:ascii="Times New Roman" w:hAnsiTheme="minorEastAsia" w:eastAsiaTheme="minorEastAsia"/>
          <w:color w:val="000000" w:themeColor="text1"/>
          <w:sz w:val="24"/>
          <w:szCs w:val="24"/>
          <w:vertAlign w:val="superscript"/>
          <w14:textFill>
            <w14:solidFill>
              <w14:schemeClr w14:val="tx1"/>
            </w14:solidFill>
          </w14:textFill>
        </w:rPr>
        <w:t>3</w:t>
      </w:r>
      <w:r>
        <w:rPr>
          <w:rFonts w:hint="eastAsia" w:ascii="Times New Roman" w:hAnsiTheme="minorEastAsia" w:eastAsiaTheme="minorEastAsia"/>
          <w:color w:val="000000" w:themeColor="text1"/>
          <w:sz w:val="24"/>
          <w:szCs w:val="24"/>
          <w14:textFill>
            <w14:solidFill>
              <w14:schemeClr w14:val="tx1"/>
            </w14:solidFill>
          </w14:textFill>
        </w:rPr>
        <w:t>）要求。经计算本项目SO</w:t>
      </w:r>
      <w:r>
        <w:rPr>
          <w:rFonts w:hint="eastAsia" w:ascii="Times New Roman" w:hAnsiTheme="minorEastAsia" w:eastAsiaTheme="minorEastAsia"/>
          <w:color w:val="000000" w:themeColor="text1"/>
          <w:sz w:val="24"/>
          <w:szCs w:val="24"/>
          <w:vertAlign w:val="subscript"/>
          <w14:textFill>
            <w14:solidFill>
              <w14:schemeClr w14:val="tx1"/>
            </w14:solidFill>
          </w14:textFill>
        </w:rPr>
        <w:t>2</w:t>
      </w:r>
      <w:r>
        <w:rPr>
          <w:rFonts w:hint="eastAsia" w:ascii="Times New Roman" w:hAnsiTheme="minorEastAsia" w:eastAsiaTheme="minorEastAsia"/>
          <w:color w:val="000000" w:themeColor="text1"/>
          <w:sz w:val="24"/>
          <w:szCs w:val="24"/>
          <w14:textFill>
            <w14:solidFill>
              <w14:schemeClr w14:val="tx1"/>
            </w14:solidFill>
          </w14:textFill>
        </w:rPr>
        <w:t>的年排放总量为0.1512t/a，NO</w:t>
      </w:r>
      <w:r>
        <w:rPr>
          <w:rFonts w:hint="eastAsia" w:ascii="Times New Roman" w:hAnsiTheme="minorEastAsia" w:eastAsiaTheme="minorEastAsia"/>
          <w:color w:val="000000" w:themeColor="text1"/>
          <w:sz w:val="24"/>
          <w:szCs w:val="24"/>
          <w:vertAlign w:val="subscript"/>
          <w14:textFill>
            <w14:solidFill>
              <w14:schemeClr w14:val="tx1"/>
            </w14:solidFill>
          </w14:textFill>
        </w:rPr>
        <w:t>X</w:t>
      </w:r>
      <w:r>
        <w:rPr>
          <w:rFonts w:hint="eastAsia" w:ascii="Times New Roman" w:hAnsiTheme="minorEastAsia" w:eastAsiaTheme="minorEastAsia"/>
          <w:color w:val="000000" w:themeColor="text1"/>
          <w:sz w:val="24"/>
          <w:szCs w:val="24"/>
          <w14:textFill>
            <w14:solidFill>
              <w14:schemeClr w14:val="tx1"/>
            </w14:solidFill>
          </w14:textFill>
        </w:rPr>
        <w:t>的年排放总量为1.224t/a，颗粒物的年排放总量为0.0936t/a，满足环评报告表中的总量控制指标（SO</w:t>
      </w:r>
      <w:r>
        <w:rPr>
          <w:rFonts w:hint="eastAsia" w:ascii="Times New Roman" w:hAnsiTheme="minorEastAsia" w:eastAsiaTheme="minorEastAsia"/>
          <w:color w:val="000000" w:themeColor="text1"/>
          <w:sz w:val="24"/>
          <w:szCs w:val="24"/>
          <w:vertAlign w:val="subscript"/>
          <w14:textFill>
            <w14:solidFill>
              <w14:schemeClr w14:val="tx1"/>
            </w14:solidFill>
          </w14:textFill>
        </w:rPr>
        <w:t>2</w:t>
      </w:r>
      <w:r>
        <w:rPr>
          <w:rFonts w:hint="eastAsia" w:ascii="Times New Roman" w:hAnsiTheme="minorEastAsia" w:eastAsiaTheme="minorEastAsia"/>
          <w:color w:val="000000" w:themeColor="text1"/>
          <w:sz w:val="24"/>
          <w:szCs w:val="24"/>
          <w14:textFill>
            <w14:solidFill>
              <w14:schemeClr w14:val="tx1"/>
            </w14:solidFill>
          </w14:textFill>
        </w:rPr>
        <w:t>：2.12t/a，NOx：6.77t/a，烟尘：0.62t/a）要求。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Times New Roman" w:hAnsiTheme="minorEastAsia" w:eastAsiaTheme="minorEastAsia"/>
          <w:color w:val="000000" w:themeColor="text1"/>
          <w:sz w:val="24"/>
          <w:szCs w:val="24"/>
          <w:lang w:eastAsia="zh-CN"/>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建设单位在施工期及运营期采取的大气污染防治措施符合环评及环评批复的要求，项目施工期及运营期对大气环境影响较小</w:t>
      </w:r>
      <w:r>
        <w:rPr>
          <w:rFonts w:hint="eastAsia" w:ascii="Times New Roman" w:hAnsiTheme="minorEastAsia" w:eastAsiaTheme="minorEastAsia"/>
          <w:bCs/>
          <w:sz w:val="24"/>
          <w:lang w:val="en-US" w:eastAsia="zh-CN"/>
        </w:rPr>
        <w:t>。</w:t>
      </w:r>
    </w:p>
    <w:p>
      <w:pPr>
        <w:spacing w:after="0" w:line="360" w:lineRule="auto"/>
        <w:ind w:firstLine="482"/>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 xml:space="preserve">3.2.3 </w:t>
      </w:r>
      <w:r>
        <w:rPr>
          <w:rFonts w:ascii="Times New Roman" w:hAnsiTheme="minorEastAsia" w:eastAsiaTheme="minorEastAsia"/>
          <w:b/>
          <w:bCs/>
          <w:color w:val="000000" w:themeColor="text1"/>
          <w:sz w:val="24"/>
          <w:szCs w:val="24"/>
          <w14:textFill>
            <w14:solidFill>
              <w14:schemeClr w14:val="tx1"/>
            </w14:solidFill>
          </w14:textFill>
        </w:rPr>
        <w:t>水环境保护措施落实情况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default" w:ascii="Times New Roman" w:hAnsi="Times New Roman" w:eastAsia="宋体" w:cs="Times New Roman"/>
          <w:sz w:val="24"/>
          <w:szCs w:val="24"/>
          <w:lang w:val="zh-CN"/>
        </w:rPr>
      </w:pPr>
      <w:r>
        <w:rPr>
          <w:rFonts w:hint="eastAsia" w:ascii="Times New Roman" w:hAnsiTheme="minorEastAsia" w:eastAsiaTheme="minorEastAsia"/>
          <w:color w:val="000000" w:themeColor="text1"/>
          <w:sz w:val="24"/>
          <w:szCs w:val="24"/>
          <w14:textFill>
            <w14:solidFill>
              <w14:schemeClr w14:val="tx1"/>
            </w14:solidFill>
          </w14:textFill>
        </w:rPr>
        <w:t>经过现场调查，项目油井施工期水污染物主要包括钻井废水、施工作业废液、酸化废液、管道试压废水和少量的生活污水。钻井废水、酸化废液由罐车拉运至河口采油厂埕东废液处理站进行处理，达标后用于油田注水开发，不外排；施工作业废液和管道试压废水依托埕东联合站进行处理，达标后用于油田注水开发，不外排；生活污水排入施工现场设置的临时旱厕内，定期清运做农肥。运营期水污染物主要包括井下作业废液、采出水。至验收期间，本项目没有进行井下作业，未产生井下作业废液，后期产生的井下作业废液依托埕东联合站处理，达标后用于油田注水开发，不外排；采出水由埕东联合站处理达标后，用于油田注水开发，无外排。因此，项目未对地表水环境产生不利影响。</w:t>
      </w:r>
    </w:p>
    <w:p>
      <w:pPr>
        <w:spacing w:after="0" w:line="360" w:lineRule="auto"/>
        <w:ind w:firstLine="482"/>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 xml:space="preserve">3.2.4 </w:t>
      </w:r>
      <w:r>
        <w:rPr>
          <w:rFonts w:ascii="Times New Roman" w:hAnsiTheme="minorEastAsia" w:eastAsiaTheme="minorEastAsia"/>
          <w:b/>
          <w:bCs/>
          <w:color w:val="000000" w:themeColor="text1"/>
          <w:sz w:val="24"/>
          <w:szCs w:val="24"/>
          <w14:textFill>
            <w14:solidFill>
              <w14:schemeClr w14:val="tx1"/>
            </w14:solidFill>
          </w14:textFill>
        </w:rPr>
        <w:t>声环境保护措施落实情况</w:t>
      </w:r>
    </w:p>
    <w:p>
      <w:pPr>
        <w:spacing w:after="0" w:line="360" w:lineRule="auto"/>
        <w:ind w:firstLine="480" w:firstLineChars="200"/>
        <w:rPr>
          <w:rFonts w:ascii="Times New Roman" w:hAnsiTheme="minorEastAsia"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项目在施工期选用了低噪设备，有效减轻了噪声污染，并取得了较好的降噪效果。经监测，项目井场的厂界噪声能够达到《工业企业厂界环境噪声排放标准》（GB 12348-2008）中的2类标准，据调查，项目施工期和调试期间，均未接到周边群众对噪声方面的投诉，项目对周围声环境影响较小。</w:t>
      </w:r>
    </w:p>
    <w:p>
      <w:pPr>
        <w:spacing w:after="0" w:line="360" w:lineRule="auto"/>
        <w:ind w:firstLine="482"/>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 xml:space="preserve">3.2.5 </w:t>
      </w:r>
      <w:r>
        <w:rPr>
          <w:rFonts w:ascii="Times New Roman" w:hAnsiTheme="minorEastAsia" w:eastAsiaTheme="minorEastAsia"/>
          <w:b/>
          <w:bCs/>
          <w:color w:val="000000" w:themeColor="text1"/>
          <w:sz w:val="24"/>
          <w:szCs w:val="24"/>
          <w14:textFill>
            <w14:solidFill>
              <w14:schemeClr w14:val="tx1"/>
            </w14:solidFill>
          </w14:textFill>
        </w:rPr>
        <w:t>固废环境和保护措施落实情况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heme="minorEastAsia"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项目钻井过程中产生的废弃泥浆、钻井岩屑全部采用泥浆不落地工艺处理；施工废料部分回收利用，部分拉运至环卫部门指定地点，由环卫部门统一处理。生活垃圾贮存在施工现场的垃圾桶内，拉运至环卫部门指定地点，由环卫部门统一处理。调试期间尚未产生油泥砂，以后运营过程中产生的油泥砂暂存在埕东联合站油泥砂贮存场，全部委托东营华新环保技术有限公司定期拉运，进行无害化处理。项目施工期和运营期的固体废物均得到了妥善的处置，对环境影响较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3.2.</w:t>
      </w:r>
      <w:r>
        <w:rPr>
          <w:rFonts w:hint="eastAsia" w:ascii="Times New Roman" w:hAnsi="Times New Roman" w:eastAsiaTheme="minorEastAsia"/>
          <w:b/>
          <w:bCs/>
          <w:color w:val="000000" w:themeColor="text1"/>
          <w:sz w:val="24"/>
          <w:szCs w:val="24"/>
          <w14:textFill>
            <w14:solidFill>
              <w14:schemeClr w14:val="tx1"/>
            </w14:solidFill>
          </w14:textFill>
        </w:rPr>
        <w:t xml:space="preserve">6土壤环境影响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heme="minorEastAsia" w:eastAsiaTheme="minorEastAsia"/>
          <w:b w:val="0"/>
          <w:bCs w:val="0"/>
          <w:color w:val="000000" w:themeColor="text1"/>
          <w:sz w:val="24"/>
          <w:szCs w:val="24"/>
          <w14:textFill>
            <w14:solidFill>
              <w14:schemeClr w14:val="tx1"/>
            </w14:solidFill>
          </w14:textFill>
        </w:rPr>
      </w:pPr>
      <w:r>
        <w:rPr>
          <w:rFonts w:hint="eastAsia" w:ascii="Times New Roman" w:hAnsi="Times New Roman" w:eastAsiaTheme="minorEastAsia"/>
          <w:b w:val="0"/>
          <w:bCs w:val="0"/>
          <w:color w:val="000000" w:themeColor="text1"/>
          <w:sz w:val="24"/>
          <w:szCs w:val="24"/>
          <w14:textFill>
            <w14:solidFill>
              <w14:schemeClr w14:val="tx1"/>
            </w14:solidFill>
          </w14:textFill>
        </w:rPr>
        <w:t>经监测，井场内土壤各监测因子浓度均低于《土壤环境质量 建设用地土壤污染风险管控标准（试行）》（GB 36600-2018）中第二类用地土壤污染风险筛选值的要求；井场外未利用地的石油烃类浓度低于4500mg/kg，满足《土壤环境质量 建设用地土壤污染风险管控标准（试行）》（GB 36600-2018）中第二类用地土壤污染风险筛选值的要求。因此，项目对周围土壤环境的影响较小</w:t>
      </w:r>
      <w:r>
        <w:rPr>
          <w:rFonts w:hint="eastAsia" w:ascii="Times New Roman" w:hAnsiTheme="minorEastAsia" w:eastAsiaTheme="minorEastAsia"/>
          <w:b w:val="0"/>
          <w:bCs w:val="0"/>
          <w:color w:val="000000" w:themeColor="text1"/>
          <w:sz w:val="24"/>
          <w:szCs w:val="24"/>
          <w14:textFill>
            <w14:solidFill>
              <w14:schemeClr w14:val="tx1"/>
            </w14:solidFill>
          </w14:textFill>
        </w:rPr>
        <w:t>。</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both"/>
        <w:textAlignment w:val="auto"/>
        <w:rPr>
          <w:rFonts w:hint="eastAsia" w:ascii="Times New Roman" w:hAnsi="Times New Roman" w:eastAsia="宋体" w:cs="Times New Roman"/>
          <w:b/>
          <w:bCs/>
          <w:color w:val="000000"/>
          <w:kern w:val="0"/>
          <w:sz w:val="28"/>
          <w:szCs w:val="28"/>
          <w:lang w:val="en-US" w:eastAsia="zh-CN" w:bidi="ar"/>
        </w:rPr>
      </w:pPr>
      <w:r>
        <w:rPr>
          <w:rFonts w:hint="eastAsia" w:ascii="Times New Roman" w:hAnsi="Times New Roman" w:eastAsia="宋体" w:cs="Times New Roman"/>
          <w:b/>
          <w:bCs/>
          <w:color w:val="000000"/>
          <w:kern w:val="0"/>
          <w:sz w:val="28"/>
          <w:szCs w:val="28"/>
          <w:lang w:val="en-US" w:eastAsia="zh-CN" w:bidi="ar"/>
        </w:rPr>
        <w:t>3.3配套措施落实情况</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2" w:firstLineChars="200"/>
        <w:jc w:val="both"/>
        <w:textAlignment w:val="auto"/>
        <w:rPr>
          <w:rFonts w:hint="eastAsia"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3.3.1区域消减及淘汰落后产能</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本项目不涉及。</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2" w:firstLineChars="200"/>
        <w:jc w:val="both"/>
        <w:textAlignment w:val="auto"/>
        <w:rPr>
          <w:rFonts w:hint="eastAsia"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3.3.2防护距离控制及居民迁移</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本项目不涉及。</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2" w:firstLineChars="200"/>
        <w:jc w:val="both"/>
        <w:textAlignment w:val="auto"/>
        <w:rPr>
          <w:rFonts w:hint="eastAsia"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3.3.3其他措施</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本项目不涉及区域环境整治、相关外围工程建设等措施。</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ascii="Times New Roman" w:hAnsi="Times New Roman" w:eastAsia="宋体"/>
          <w:b/>
          <w:bCs/>
          <w:sz w:val="32"/>
          <w:szCs w:val="32"/>
        </w:rPr>
      </w:pPr>
      <w:r>
        <w:rPr>
          <w:rFonts w:hint="eastAsia" w:ascii="Times New Roman" w:hAnsi="Times New Roman" w:eastAsia="宋体"/>
          <w:b/>
          <w:bCs/>
          <w:sz w:val="32"/>
          <w:szCs w:val="32"/>
          <w:lang w:val="en-US" w:eastAsia="zh-CN"/>
        </w:rPr>
        <w:t>4</w:t>
      </w:r>
      <w:r>
        <w:rPr>
          <w:rFonts w:ascii="Times New Roman" w:hAnsi="Times New Roman" w:eastAsia="宋体"/>
          <w:b/>
          <w:bCs/>
          <w:sz w:val="32"/>
          <w:szCs w:val="32"/>
        </w:rPr>
        <w:t>整改工作情况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2020年8月7日，中国石油化工股份有限公司胜利油田分公司河口采油厂组织相关人员成立验收小组，对《河口采油厂埕东油田埕南12-平11块产能建设工程》项目进行竣工环境保护设施验收评审，并提出了整改意见。</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2020年8月17日，验收工作组专业技术专家对整改情况进行了复核，认为项目满足竣工环境保护验收要求，整改情况</w:t>
      </w:r>
      <w:bookmarkStart w:id="0" w:name="_GoBack"/>
      <w:bookmarkEnd w:id="0"/>
      <w:r>
        <w:rPr>
          <w:rFonts w:hint="eastAsia" w:ascii="宋体" w:hAnsi="宋体" w:eastAsia="宋体" w:cs="宋体"/>
          <w:sz w:val="24"/>
          <w:szCs w:val="24"/>
          <w:lang w:val="en-US" w:eastAsia="zh-CN"/>
        </w:rPr>
        <w:t>汇总如下：</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整改意见1：</w:t>
      </w:r>
      <w:r>
        <w:rPr>
          <w:rFonts w:hint="eastAsia" w:ascii="宋体" w:hAnsi="宋体" w:eastAsia="宋体" w:cs="宋体"/>
          <w:sz w:val="24"/>
          <w:szCs w:val="24"/>
          <w:lang w:val="en-US" w:eastAsia="zh-CN"/>
        </w:rPr>
        <w:t>补充泥浆浸出液检测报告；</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整改情况：</w:t>
      </w:r>
      <w:r>
        <w:rPr>
          <w:rFonts w:hint="eastAsia" w:ascii="宋体" w:hAnsi="宋体" w:eastAsia="宋体" w:cs="宋体"/>
          <w:sz w:val="24"/>
          <w:szCs w:val="24"/>
          <w:lang w:val="en-US" w:eastAsia="zh-CN"/>
        </w:rPr>
        <w:t>已按照意见进行了整改，补充了泥浆浸出液检测报告，详见报告中附件7。</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整改意见2：</w:t>
      </w:r>
      <w:r>
        <w:rPr>
          <w:rFonts w:hint="eastAsia" w:ascii="宋体" w:hAnsi="宋体" w:eastAsia="宋体" w:cs="宋体"/>
          <w:sz w:val="24"/>
          <w:szCs w:val="24"/>
          <w:lang w:val="en-US" w:eastAsia="zh-CN"/>
        </w:rPr>
        <w:t>细化已建双空心杆地面加热装置的污染物排放总量与环评文件的总量控制符合性分析内容；</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整改情况：</w:t>
      </w:r>
      <w:r>
        <w:rPr>
          <w:rFonts w:hint="eastAsia" w:ascii="宋体" w:hAnsi="宋体" w:eastAsia="宋体" w:cs="宋体"/>
          <w:sz w:val="24"/>
          <w:szCs w:val="24"/>
          <w:lang w:val="en-US" w:eastAsia="zh-CN"/>
        </w:rPr>
        <w:t>已按照意见进行了整改，细化了加热装置污染物排放总量与环评文件的总量控制符合性的分析，详见表二中2.4及表四中4.3.1。</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整改意见3：</w:t>
      </w:r>
      <w:r>
        <w:rPr>
          <w:rFonts w:hint="eastAsia" w:ascii="宋体" w:hAnsi="宋体" w:eastAsia="宋体" w:cs="宋体"/>
          <w:sz w:val="24"/>
          <w:szCs w:val="24"/>
          <w:lang w:val="en-US" w:eastAsia="zh-CN"/>
        </w:rPr>
        <w:t>在建议里补充增加对加热装置燃烧烟气的监测频次，确保燃烧废气满足《锅炉大气污染物排放标准》中表2“重点控制区”的限值要求。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jc w:val="both"/>
        <w:textAlignment w:val="auto"/>
      </w:pPr>
      <w:r>
        <w:rPr>
          <w:rFonts w:hint="eastAsia" w:ascii="宋体" w:hAnsi="宋体" w:eastAsia="宋体" w:cs="宋体"/>
          <w:b/>
          <w:bCs/>
          <w:sz w:val="24"/>
          <w:szCs w:val="24"/>
          <w:lang w:val="en-US" w:eastAsia="zh-CN"/>
        </w:rPr>
        <w:t>整改情况：</w:t>
      </w:r>
      <w:r>
        <w:rPr>
          <w:rFonts w:hint="eastAsia" w:ascii="宋体" w:hAnsi="宋体" w:eastAsia="宋体" w:cs="宋体"/>
          <w:sz w:val="24"/>
          <w:szCs w:val="24"/>
          <w:lang w:val="en-US" w:eastAsia="zh-CN"/>
        </w:rPr>
        <w:t>已按照意见进行了整改，补充了加热装置增加监测频次的建议。</w:t>
      </w:r>
    </w:p>
    <w:sectPr>
      <w:footerReference r:id="rId3"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xuzq4BAABLAwAADgAAAGRycy9lMm9Eb2MueG1srVNLbtswEN0HyB0I&#10;7mvKXhSGYDlIEKQoEDQFkhyApkiLAH8Y0pZ8geYGXXXTfc/lc2RIS07a7opuqOHM8M17M6PV1WAN&#10;2UuI2ruGzmcVJdIJ32q3bejz092HJSUxcddy451s6EFGerW+vFj1oZYL33nTSiAI4mLdh4Z2KYWa&#10;sSg6aXmc+SAdBpUHyxNeYcta4D2iW8MWVfWR9R7aAF7IGNF7ewrSdcFXSor0oFSUiZiGIrdUTijn&#10;Jp9sveL1FnjotBhp8H9gYbl2WPQMdcsTJzvQf0FZLcBHr9JMeMu8UlrIogHVzKs/1Dx2PMiiBZsT&#10;w7lN8f/Bii/7r0B0i7OjxHGLIzp+fzn++HX8+Y0scnv6EGvMegyYl4YbP+TU0R/RmVUPCmz+oh6C&#10;cWz04dxcOSQi8qPlYrmsMCQwNl0Qh709DxDTJ+ktyUZDAadXmsr39zGdUqeUXM35O20M+nlt3G8O&#10;xMwelrmfOGYrDZthJL7x7QH19Dj4hjrcTErMZ4d9zTsyGTAZm8nYBdDbDqnNC68YrncJSRRuucIJ&#10;diyMEyvqxu3KK/H+XrLe/oH1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MfG7OrgEAAEsD&#10;AAAOAAAAAAAAAAEAIAAAAB4BAABkcnMvZTJvRG9jLnhtbFBLBQYAAAAABgAGAFkBAAA+BQ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4B4"/>
    <w:rsid w:val="000109AF"/>
    <w:rsid w:val="00016D39"/>
    <w:rsid w:val="00064996"/>
    <w:rsid w:val="00096C84"/>
    <w:rsid w:val="0011516E"/>
    <w:rsid w:val="00117263"/>
    <w:rsid w:val="00124BDB"/>
    <w:rsid w:val="001F33D3"/>
    <w:rsid w:val="001F5C49"/>
    <w:rsid w:val="00291B66"/>
    <w:rsid w:val="002E64CF"/>
    <w:rsid w:val="00382447"/>
    <w:rsid w:val="003946FB"/>
    <w:rsid w:val="003D5486"/>
    <w:rsid w:val="0045125B"/>
    <w:rsid w:val="004B54D6"/>
    <w:rsid w:val="00514DD1"/>
    <w:rsid w:val="00590BFD"/>
    <w:rsid w:val="005D40E3"/>
    <w:rsid w:val="00683036"/>
    <w:rsid w:val="006F5AE9"/>
    <w:rsid w:val="00713C95"/>
    <w:rsid w:val="007A011F"/>
    <w:rsid w:val="007B046D"/>
    <w:rsid w:val="007E69CF"/>
    <w:rsid w:val="00842A03"/>
    <w:rsid w:val="00853DB5"/>
    <w:rsid w:val="00873568"/>
    <w:rsid w:val="008770C6"/>
    <w:rsid w:val="0088545B"/>
    <w:rsid w:val="008D3C33"/>
    <w:rsid w:val="008E608E"/>
    <w:rsid w:val="008F0127"/>
    <w:rsid w:val="00931393"/>
    <w:rsid w:val="009355E6"/>
    <w:rsid w:val="00942455"/>
    <w:rsid w:val="00945501"/>
    <w:rsid w:val="009742A9"/>
    <w:rsid w:val="009A0385"/>
    <w:rsid w:val="009E2591"/>
    <w:rsid w:val="00A76A53"/>
    <w:rsid w:val="00AD6457"/>
    <w:rsid w:val="00AF10AC"/>
    <w:rsid w:val="00B90E8C"/>
    <w:rsid w:val="00BE3360"/>
    <w:rsid w:val="00BF7DC5"/>
    <w:rsid w:val="00CD1E22"/>
    <w:rsid w:val="00CE7B0B"/>
    <w:rsid w:val="00CF50B8"/>
    <w:rsid w:val="00CF7E43"/>
    <w:rsid w:val="00D364B4"/>
    <w:rsid w:val="00D72DEF"/>
    <w:rsid w:val="00DF043E"/>
    <w:rsid w:val="00E45DCE"/>
    <w:rsid w:val="00E64B26"/>
    <w:rsid w:val="00F122F0"/>
    <w:rsid w:val="00F26AE1"/>
    <w:rsid w:val="00F6125B"/>
    <w:rsid w:val="00F72402"/>
    <w:rsid w:val="054E0867"/>
    <w:rsid w:val="0F054318"/>
    <w:rsid w:val="11713566"/>
    <w:rsid w:val="14D711A4"/>
    <w:rsid w:val="1B9969D2"/>
    <w:rsid w:val="1CD6349B"/>
    <w:rsid w:val="2F8A3B31"/>
    <w:rsid w:val="3E273C10"/>
    <w:rsid w:val="41A043F6"/>
    <w:rsid w:val="47A61A80"/>
    <w:rsid w:val="4887503C"/>
    <w:rsid w:val="4AD64253"/>
    <w:rsid w:val="55E44ED8"/>
    <w:rsid w:val="5BBD7FB8"/>
    <w:rsid w:val="5D1C7C7A"/>
    <w:rsid w:val="66290764"/>
    <w:rsid w:val="670B724E"/>
    <w:rsid w:val="6ACE6105"/>
    <w:rsid w:val="6B29722C"/>
    <w:rsid w:val="6D3860DE"/>
    <w:rsid w:val="6D7C52E1"/>
    <w:rsid w:val="6F9F6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before="0" w:after="200" w:line="240" w:lineRule="auto"/>
      <w:jc w:val="left"/>
    </w:pPr>
    <w:rPr>
      <w:rFonts w:ascii="Tahoma" w:hAnsi="Tahoma" w:eastAsia="微软雅黑" w:cs="Times New Roman"/>
      <w:kern w:val="0"/>
      <w:sz w:val="22"/>
      <w:szCs w:val="22"/>
      <w:lang w:val="en-US" w:eastAsia="zh-CN" w:bidi="ar-SA"/>
    </w:rPr>
  </w:style>
  <w:style w:type="paragraph" w:styleId="5">
    <w:name w:val="heading 1"/>
    <w:basedOn w:val="1"/>
    <w:next w:val="1"/>
    <w:qFormat/>
    <w:uiPriority w:val="0"/>
    <w:pPr>
      <w:keepNext/>
      <w:keepLines/>
      <w:ind w:firstLine="0" w:firstLineChars="0"/>
      <w:outlineLvl w:val="0"/>
    </w:pPr>
    <w:rPr>
      <w:b/>
      <w:kern w:val="44"/>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6"/>
    <w:qFormat/>
    <w:uiPriority w:val="0"/>
    <w:pPr>
      <w:ind w:firstLine="420" w:firstLineChars="200"/>
    </w:pPr>
  </w:style>
  <w:style w:type="paragraph" w:styleId="3">
    <w:name w:val="Body Text Indent"/>
    <w:basedOn w:val="1"/>
    <w:next w:val="4"/>
    <w:qFormat/>
    <w:uiPriority w:val="0"/>
    <w:pPr>
      <w:ind w:firstLine="360"/>
    </w:pPr>
    <w:rPr>
      <w:rFonts w:ascii="仿宋_GB2312" w:eastAsia="仿宋_GB2312"/>
      <w:sz w:val="30"/>
    </w:rPr>
  </w:style>
  <w:style w:type="paragraph" w:customStyle="1" w:styleId="4">
    <w:name w:val="样式 标题 1一级标题 + 段前: 0.5 行 段后: 0.5 行"/>
    <w:basedOn w:val="5"/>
    <w:qFormat/>
    <w:uiPriority w:val="99"/>
    <w:pPr>
      <w:snapToGrid w:val="0"/>
      <w:spacing w:line="320" w:lineRule="exact"/>
      <w:jc w:val="center"/>
      <w:outlineLvl w:val="9"/>
    </w:pPr>
    <w:rPr>
      <w:spacing w:val="-6"/>
      <w:kern w:val="0"/>
      <w:sz w:val="21"/>
      <w:szCs w:val="21"/>
    </w:rPr>
  </w:style>
  <w:style w:type="paragraph" w:customStyle="1" w:styleId="6">
    <w:name w:val="正文格式"/>
    <w:basedOn w:val="1"/>
    <w:qFormat/>
    <w:uiPriority w:val="0"/>
    <w:pPr>
      <w:ind w:firstLine="482"/>
    </w:pPr>
    <w:rPr>
      <w:rFonts w:ascii="宋体" w:hAnsi="宋体"/>
      <w:szCs w:val="24"/>
    </w:rPr>
  </w:style>
  <w:style w:type="paragraph" w:styleId="7">
    <w:name w:val="Normal Indent"/>
    <w:basedOn w:val="1"/>
    <w:unhideWhenUsed/>
    <w:qFormat/>
    <w:uiPriority w:val="99"/>
    <w:pPr>
      <w:ind w:firstLine="420"/>
    </w:pPr>
    <w:rPr>
      <w:rFonts w:eastAsia="宋体"/>
      <w:kern w:val="2"/>
      <w:sz w:val="21"/>
    </w:rPr>
  </w:style>
  <w:style w:type="paragraph" w:styleId="8">
    <w:name w:val="Document Map"/>
    <w:basedOn w:val="1"/>
    <w:link w:val="18"/>
    <w:semiHidden/>
    <w:unhideWhenUsed/>
    <w:qFormat/>
    <w:uiPriority w:val="99"/>
    <w:rPr>
      <w:rFonts w:ascii="宋体" w:eastAsia="宋体"/>
      <w:sz w:val="18"/>
      <w:szCs w:val="18"/>
    </w:rPr>
  </w:style>
  <w:style w:type="paragraph" w:styleId="9">
    <w:name w:val="annotation text"/>
    <w:basedOn w:val="1"/>
    <w:link w:val="22"/>
    <w:qFormat/>
    <w:uiPriority w:val="0"/>
    <w:pPr>
      <w:tabs>
        <w:tab w:val="left" w:pos="377"/>
      </w:tabs>
      <w:adjustRightInd/>
      <w:snapToGrid/>
      <w:spacing w:after="0" w:line="360" w:lineRule="auto"/>
    </w:pPr>
    <w:rPr>
      <w:rFonts w:ascii="宋体" w:hAnsi="Times New Roman" w:eastAsia="宋体"/>
      <w:sz w:val="24"/>
      <w:szCs w:val="24"/>
    </w:rPr>
  </w:style>
  <w:style w:type="paragraph" w:styleId="10">
    <w:name w:val="Balloon Text"/>
    <w:basedOn w:val="1"/>
    <w:link w:val="34"/>
    <w:semiHidden/>
    <w:unhideWhenUsed/>
    <w:qFormat/>
    <w:uiPriority w:val="99"/>
    <w:pPr>
      <w:spacing w:after="0"/>
    </w:pPr>
    <w:rPr>
      <w:sz w:val="18"/>
      <w:szCs w:val="18"/>
    </w:rPr>
  </w:style>
  <w:style w:type="paragraph" w:styleId="11">
    <w:name w:val="footer"/>
    <w:basedOn w:val="1"/>
    <w:link w:val="17"/>
    <w:qFormat/>
    <w:uiPriority w:val="0"/>
    <w:pPr>
      <w:tabs>
        <w:tab w:val="center" w:pos="4153"/>
        <w:tab w:val="right" w:pos="8306"/>
      </w:tabs>
    </w:pPr>
    <w:rPr>
      <w:sz w:val="18"/>
    </w:rPr>
  </w:style>
  <w:style w:type="paragraph" w:styleId="12">
    <w:name w:val="header"/>
    <w:basedOn w:val="1"/>
    <w:link w:val="35"/>
    <w:semiHidden/>
    <w:unhideWhenUsed/>
    <w:qFormat/>
    <w:uiPriority w:val="99"/>
    <w:pPr>
      <w:pBdr>
        <w:bottom w:val="single" w:color="auto" w:sz="6" w:space="1"/>
      </w:pBdr>
      <w:tabs>
        <w:tab w:val="center" w:pos="4153"/>
        <w:tab w:val="right" w:pos="8306"/>
      </w:tabs>
      <w:jc w:val="center"/>
    </w:pPr>
    <w:rPr>
      <w:sz w:val="18"/>
      <w:szCs w:val="18"/>
    </w:rPr>
  </w:style>
  <w:style w:type="table" w:styleId="14">
    <w:name w:val="Table Grid"/>
    <w:basedOn w:val="13"/>
    <w:qFormat/>
    <w:uiPriority w:val="39"/>
    <w:pPr>
      <w:widowControl w:val="0"/>
      <w:spacing w:before="0" w:after="0" w:line="240" w:lineRule="auto"/>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fontstyle21"/>
    <w:basedOn w:val="15"/>
    <w:qFormat/>
    <w:uiPriority w:val="0"/>
    <w:rPr>
      <w:rFonts w:ascii="TimesNewRomanPSMT" w:hAnsi="TimesNewRomanPSMT" w:eastAsia="TimesNewRomanPSMT" w:cs="TimesNewRomanPSMT"/>
      <w:color w:val="000000"/>
      <w:sz w:val="24"/>
      <w:szCs w:val="24"/>
    </w:rPr>
  </w:style>
  <w:style w:type="character" w:customStyle="1" w:styleId="17">
    <w:name w:val="页脚 字符"/>
    <w:basedOn w:val="15"/>
    <w:link w:val="11"/>
    <w:qFormat/>
    <w:uiPriority w:val="0"/>
    <w:rPr>
      <w:rFonts w:ascii="Tahoma" w:hAnsi="Tahoma" w:eastAsia="微软雅黑" w:cs="Times New Roman"/>
      <w:kern w:val="0"/>
      <w:sz w:val="18"/>
    </w:rPr>
  </w:style>
  <w:style w:type="character" w:customStyle="1" w:styleId="18">
    <w:name w:val="文档结构图 字符"/>
    <w:basedOn w:val="15"/>
    <w:link w:val="8"/>
    <w:semiHidden/>
    <w:qFormat/>
    <w:uiPriority w:val="99"/>
    <w:rPr>
      <w:rFonts w:ascii="宋体" w:hAnsi="Tahoma" w:eastAsia="宋体" w:cs="Times New Roman"/>
      <w:kern w:val="0"/>
      <w:sz w:val="18"/>
      <w:szCs w:val="18"/>
    </w:rPr>
  </w:style>
  <w:style w:type="paragraph" w:customStyle="1" w:styleId="19">
    <w:name w:val="lm表格内文字"/>
    <w:basedOn w:val="1"/>
    <w:qFormat/>
    <w:uiPriority w:val="0"/>
    <w:pPr>
      <w:widowControl w:val="0"/>
      <w:adjustRightInd/>
      <w:snapToGrid/>
      <w:spacing w:after="0"/>
      <w:jc w:val="center"/>
      <w:textAlignment w:val="center"/>
    </w:pPr>
    <w:rPr>
      <w:rFonts w:ascii="宋体" w:hAnsi="宋体" w:eastAsia="宋体"/>
      <w:kern w:val="2"/>
      <w:sz w:val="21"/>
      <w:szCs w:val="21"/>
    </w:rPr>
  </w:style>
  <w:style w:type="paragraph" w:customStyle="1" w:styleId="20">
    <w:name w:val="lm正文"/>
    <w:basedOn w:val="1"/>
    <w:link w:val="21"/>
    <w:qFormat/>
    <w:uiPriority w:val="0"/>
    <w:pPr>
      <w:widowControl w:val="0"/>
      <w:spacing w:after="0" w:line="331" w:lineRule="auto"/>
      <w:ind w:firstLine="480" w:firstLineChars="200"/>
      <w:jc w:val="both"/>
    </w:pPr>
    <w:rPr>
      <w:rFonts w:ascii="宋体" w:hAnsi="宋体" w:eastAsia="宋体"/>
      <w:sz w:val="24"/>
      <w:szCs w:val="24"/>
    </w:rPr>
  </w:style>
  <w:style w:type="character" w:customStyle="1" w:styleId="21">
    <w:name w:val="lm正文 Char"/>
    <w:link w:val="20"/>
    <w:qFormat/>
    <w:uiPriority w:val="0"/>
    <w:rPr>
      <w:rFonts w:ascii="宋体" w:hAnsi="宋体" w:eastAsia="宋体" w:cs="Times New Roman"/>
      <w:kern w:val="0"/>
      <w:sz w:val="24"/>
      <w:szCs w:val="24"/>
    </w:rPr>
  </w:style>
  <w:style w:type="character" w:customStyle="1" w:styleId="22">
    <w:name w:val="批注文字 字符"/>
    <w:basedOn w:val="15"/>
    <w:link w:val="9"/>
    <w:qFormat/>
    <w:uiPriority w:val="0"/>
    <w:rPr>
      <w:rFonts w:ascii="宋体" w:hAnsi="Times New Roman" w:eastAsia="宋体" w:cs="Times New Roman"/>
      <w:kern w:val="0"/>
      <w:sz w:val="24"/>
      <w:szCs w:val="24"/>
    </w:rPr>
  </w:style>
  <w:style w:type="paragraph" w:customStyle="1" w:styleId="23">
    <w:name w:val="lm表头"/>
    <w:basedOn w:val="1"/>
    <w:link w:val="24"/>
    <w:qFormat/>
    <w:uiPriority w:val="0"/>
    <w:pPr>
      <w:widowControl w:val="0"/>
      <w:adjustRightInd/>
      <w:snapToGrid/>
      <w:spacing w:beforeLines="50" w:after="0" w:line="331" w:lineRule="auto"/>
      <w:jc w:val="center"/>
    </w:pPr>
    <w:rPr>
      <w:rFonts w:ascii="宋体" w:hAnsi="宋体" w:eastAsia="宋体"/>
      <w:bCs/>
      <w:kern w:val="2"/>
      <w:sz w:val="21"/>
      <w:szCs w:val="21"/>
    </w:rPr>
  </w:style>
  <w:style w:type="character" w:customStyle="1" w:styleId="24">
    <w:name w:val="lm表头 Char"/>
    <w:link w:val="23"/>
    <w:qFormat/>
    <w:uiPriority w:val="0"/>
    <w:rPr>
      <w:rFonts w:ascii="宋体" w:hAnsi="宋体" w:eastAsia="宋体" w:cs="Times New Roman"/>
      <w:bCs/>
      <w:szCs w:val="21"/>
    </w:rPr>
  </w:style>
  <w:style w:type="paragraph" w:customStyle="1" w:styleId="25">
    <w:name w:val="样式 正文 首行缩进:  2 字符 SL CON + 首行缩进:  2 字符 + 首行缩进:  2 字符 + 首行缩..."/>
    <w:basedOn w:val="1"/>
    <w:link w:val="30"/>
    <w:qFormat/>
    <w:uiPriority w:val="0"/>
    <w:pPr>
      <w:tabs>
        <w:tab w:val="left" w:pos="377"/>
      </w:tabs>
      <w:adjustRightInd/>
      <w:snapToGrid/>
      <w:spacing w:after="0" w:line="360" w:lineRule="auto"/>
      <w:ind w:firstLine="560" w:firstLineChars="200"/>
    </w:pPr>
    <w:rPr>
      <w:rFonts w:ascii="宋体" w:hAnsi="宋体" w:eastAsia="宋体"/>
      <w:sz w:val="28"/>
      <w:szCs w:val="20"/>
    </w:rPr>
  </w:style>
  <w:style w:type="paragraph" w:customStyle="1" w:styleId="26">
    <w:name w:val="样式 正文 首行缩进:  2 字符 SL CON + 首行缩进:  2 字符"/>
    <w:basedOn w:val="1"/>
    <w:link w:val="27"/>
    <w:qFormat/>
    <w:uiPriority w:val="0"/>
    <w:pPr>
      <w:tabs>
        <w:tab w:val="left" w:pos="377"/>
      </w:tabs>
      <w:adjustRightInd/>
      <w:snapToGrid/>
      <w:spacing w:after="0" w:line="360" w:lineRule="auto"/>
      <w:ind w:firstLine="200" w:firstLineChars="200"/>
    </w:pPr>
    <w:rPr>
      <w:rFonts w:ascii="宋体" w:hAnsi="Times New Roman" w:eastAsia="宋体"/>
      <w:sz w:val="28"/>
      <w:szCs w:val="20"/>
    </w:rPr>
  </w:style>
  <w:style w:type="character" w:customStyle="1" w:styleId="27">
    <w:name w:val="样式 正文 首行缩进:  2 字符 SL CON + 首行缩进:  2 字符 Char"/>
    <w:link w:val="26"/>
    <w:qFormat/>
    <w:uiPriority w:val="0"/>
    <w:rPr>
      <w:rFonts w:ascii="宋体" w:hAnsi="Times New Roman" w:eastAsia="宋体" w:cs="Times New Roman"/>
      <w:kern w:val="0"/>
      <w:sz w:val="28"/>
      <w:szCs w:val="20"/>
    </w:rPr>
  </w:style>
  <w:style w:type="paragraph" w:customStyle="1" w:styleId="28">
    <w:name w:val="样式 表（或图）标题"/>
    <w:basedOn w:val="1"/>
    <w:link w:val="29"/>
    <w:qFormat/>
    <w:uiPriority w:val="0"/>
    <w:pPr>
      <w:adjustRightInd/>
      <w:snapToGrid/>
      <w:spacing w:before="100" w:beforeAutospacing="1" w:after="0" w:line="360" w:lineRule="auto"/>
      <w:jc w:val="center"/>
    </w:pPr>
    <w:rPr>
      <w:rFonts w:ascii="宋体" w:hAnsi="宋体" w:eastAsia="宋体"/>
      <w:b/>
      <w:sz w:val="21"/>
      <w:szCs w:val="20"/>
    </w:rPr>
  </w:style>
  <w:style w:type="character" w:customStyle="1" w:styleId="29">
    <w:name w:val="样式 表（或图）标题 Char"/>
    <w:link w:val="28"/>
    <w:qFormat/>
    <w:uiPriority w:val="0"/>
    <w:rPr>
      <w:rFonts w:ascii="宋体" w:hAnsi="宋体" w:eastAsia="宋体" w:cs="Times New Roman"/>
      <w:b/>
      <w:kern w:val="0"/>
      <w:szCs w:val="20"/>
    </w:rPr>
  </w:style>
  <w:style w:type="character" w:customStyle="1" w:styleId="30">
    <w:name w:val="样式 正文 首行缩进:  2 字符 SL CON + 首行缩进:  2 字符 + 首行缩进:  2 字符 + 首行缩... Char"/>
    <w:link w:val="25"/>
    <w:qFormat/>
    <w:uiPriority w:val="0"/>
    <w:rPr>
      <w:rFonts w:ascii="宋体" w:hAnsi="宋体" w:eastAsia="宋体" w:cs="Times New Roman"/>
      <w:kern w:val="0"/>
      <w:sz w:val="28"/>
      <w:szCs w:val="20"/>
    </w:rPr>
  </w:style>
  <w:style w:type="paragraph" w:customStyle="1" w:styleId="31">
    <w:name w:val="lm图例"/>
    <w:basedOn w:val="1"/>
    <w:link w:val="32"/>
    <w:qFormat/>
    <w:uiPriority w:val="0"/>
    <w:pPr>
      <w:widowControl w:val="0"/>
      <w:adjustRightInd/>
      <w:snapToGrid/>
      <w:spacing w:beforeLines="50" w:afterLines="50" w:line="331" w:lineRule="auto"/>
      <w:jc w:val="center"/>
    </w:pPr>
    <w:rPr>
      <w:rFonts w:ascii="宋体" w:hAnsi="宋体" w:eastAsia="宋体"/>
      <w:kern w:val="2"/>
      <w:sz w:val="21"/>
    </w:rPr>
  </w:style>
  <w:style w:type="character" w:customStyle="1" w:styleId="32">
    <w:name w:val="lm图例 Char"/>
    <w:link w:val="31"/>
    <w:qFormat/>
    <w:uiPriority w:val="0"/>
    <w:rPr>
      <w:rFonts w:ascii="宋体" w:hAnsi="宋体" w:eastAsia="宋体" w:cs="Times New Roman"/>
    </w:rPr>
  </w:style>
  <w:style w:type="paragraph" w:customStyle="1" w:styleId="33">
    <w:name w:val="第四章图件"/>
    <w:basedOn w:val="7"/>
    <w:qFormat/>
    <w:uiPriority w:val="0"/>
    <w:pPr>
      <w:widowControl w:val="0"/>
      <w:tabs>
        <w:tab w:val="left" w:pos="852"/>
      </w:tabs>
      <w:adjustRightInd/>
      <w:spacing w:after="0"/>
      <w:ind w:left="420" w:firstLine="0"/>
      <w:jc w:val="center"/>
    </w:pPr>
    <w:rPr>
      <w:rFonts w:ascii="Times New Roman" w:hAnsi="Times New Roman"/>
      <w:sz w:val="24"/>
      <w:szCs w:val="24"/>
    </w:rPr>
  </w:style>
  <w:style w:type="character" w:customStyle="1" w:styleId="34">
    <w:name w:val="批注框文本 字符"/>
    <w:basedOn w:val="15"/>
    <w:link w:val="10"/>
    <w:semiHidden/>
    <w:qFormat/>
    <w:uiPriority w:val="99"/>
    <w:rPr>
      <w:rFonts w:ascii="Tahoma" w:hAnsi="Tahoma" w:eastAsia="微软雅黑" w:cs="Times New Roman"/>
      <w:kern w:val="0"/>
      <w:sz w:val="18"/>
      <w:szCs w:val="18"/>
    </w:rPr>
  </w:style>
  <w:style w:type="character" w:customStyle="1" w:styleId="35">
    <w:name w:val="页眉 字符"/>
    <w:basedOn w:val="15"/>
    <w:link w:val="12"/>
    <w:semiHidden/>
    <w:qFormat/>
    <w:uiPriority w:val="99"/>
    <w:rPr>
      <w:rFonts w:ascii="Tahoma" w:hAnsi="Tahoma" w:eastAsia="微软雅黑" w:cs="Times New Roman"/>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oter" Target="footer1.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customXml" Target="../customXml/item2.xml"/><Relationship Id="rId1" Type="http://schemas.openxmlformats.org/officeDocument/2006/relationships/styles" Target="styles.xml"/><Relationship Id="rId5" Type="http://schemas.openxmlformats.org/officeDocument/2006/relationships/customXml" Target="../customXml/item1.xml"/><Relationship Id="rId10" Type="http://schemas.openxmlformats.org/officeDocument/2006/relationships/customXml" Target="../customXml/item5.xml"/><Relationship Id="rId4" Type="http://schemas.openxmlformats.org/officeDocument/2006/relationships/theme" Target="theme/theme1.xml"/><Relationship Id="rId9" Type="http://schemas.openxmlformats.org/officeDocument/2006/relationships/customXml" Target="../customXml/item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26E842-2720-4F93-9D17-725F90FFB052}"/>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8C0B00B2-F9E8-46B6-A538-B363159D7F4A}"/>
</file>

<file path=customXml/itemProps4.xml><?xml version="1.0" encoding="utf-8"?>
<ds:datastoreItem xmlns:ds="http://schemas.openxmlformats.org/officeDocument/2006/customXml" ds:itemID="{5642D07C-F483-49DA-A1DD-D8A920A7F00C}"/>
</file>

<file path=customXml/itemProps5.xml><?xml version="1.0" encoding="utf-8"?>
<ds:datastoreItem xmlns:ds="http://schemas.openxmlformats.org/officeDocument/2006/customXml" ds:itemID="{69C769CC-9B5D-42FA-9F25-2AA9C44C122F}"/>
</file>

<file path=docProps/app.xml><?xml version="1.0" encoding="utf-8"?>
<Properties xmlns="http://schemas.openxmlformats.org/officeDocument/2006/extended-properties" xmlns:vt="http://schemas.openxmlformats.org/officeDocument/2006/docPropsVTypes">
  <Template>Normal</Template>
  <Company>Microsoft</Company>
  <Pages>5</Pages>
  <Words>3262</Words>
  <Characters>3520</Characters>
  <Lines>17</Lines>
  <Paragraphs>5</Paragraphs>
  <TotalTime>15</TotalTime>
  <ScaleCrop>false</ScaleCrop>
  <LinksUpToDate>false</LinksUpToDate>
  <CharactersWithSpaces>3529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冥王星</cp:lastModifiedBy>
  <cp:revision>43</cp:revision>
  <dcterms:created xsi:type="dcterms:W3CDTF">2019-02-25T11:20:00Z</dcterms:created>
  <dcterms:modified xsi:type="dcterms:W3CDTF">2020-09-15T04:04:11Z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ContentTypeId">
    <vt:lpwstr>0x010100313989E510CC474A862876A387D6F14A</vt:lpwstr>
  </property>
</Properties>
</file>