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00" w:lineRule="exact"/>
        <w:jc w:val="center"/>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spacing w:after="0" w:line="360" w:lineRule="auto"/>
        <w:ind w:firstLine="482"/>
        <w:jc w:val="both"/>
        <w:rPr>
          <w:rFonts w:ascii="Times New Roman" w:hAnsi="Times New Roman" w:eastAsia="宋体"/>
          <w:sz w:val="28"/>
          <w:szCs w:val="28"/>
        </w:rPr>
      </w:pPr>
      <w:r>
        <w:rPr>
          <w:rFonts w:hint="eastAsia" w:ascii="Times New Roman" w:hAnsi="Times New Roman" w:eastAsia="宋体"/>
          <w:b/>
          <w:bCs/>
          <w:sz w:val="28"/>
          <w:szCs w:val="28"/>
        </w:rPr>
        <w:t>1.1设计、施工简况</w:t>
      </w:r>
    </w:p>
    <w:p>
      <w:pPr>
        <w:pStyle w:val="20"/>
        <w:adjustRightInd w:val="0"/>
        <w:snapToGrid w:val="0"/>
        <w:ind w:firstLine="482" w:firstLineChars="0"/>
        <w:jc w:val="both"/>
        <w:rPr>
          <w:sz w:val="24"/>
          <w:szCs w:val="24"/>
        </w:rPr>
      </w:pPr>
      <w:r>
        <w:rPr>
          <w:rFonts w:hint="eastAsia"/>
          <w:sz w:val="24"/>
          <w:szCs w:val="24"/>
        </w:rPr>
        <w:t>（1）污水处理依托设施</w:t>
      </w:r>
    </w:p>
    <w:p>
      <w:pPr>
        <w:pStyle w:val="15"/>
        <w:spacing w:line="360" w:lineRule="auto"/>
        <w:ind w:firstLine="482" w:firstLineChars="0"/>
      </w:pPr>
      <w:r>
        <w:rPr>
          <w:rFonts w:hint="eastAsia"/>
        </w:rPr>
        <w:t>本项目运营期产生的采</w:t>
      </w:r>
      <w:r>
        <w:rPr>
          <w:rFonts w:hint="eastAsia"/>
          <w:lang w:val="en-US" w:eastAsia="zh-CN"/>
        </w:rPr>
        <w:t>出水</w:t>
      </w:r>
      <w:r>
        <w:rPr>
          <w:rFonts w:hint="eastAsia"/>
        </w:rPr>
        <w:t>、作业废水依托</w:t>
      </w:r>
      <w:r>
        <w:rPr>
          <w:rFonts w:hint="eastAsia"/>
          <w:lang w:val="en-US" w:eastAsia="zh-CN"/>
        </w:rPr>
        <w:t>四净站处理</w:t>
      </w:r>
      <w:r>
        <w:rPr>
          <w:rFonts w:hint="eastAsia"/>
        </w:rPr>
        <w:t>，其建设时间均在本项目竣工前，设计单位及施工单位为中石化内部队伍。</w:t>
      </w:r>
    </w:p>
    <w:p>
      <w:pPr>
        <w:pStyle w:val="20"/>
        <w:adjustRightInd w:val="0"/>
        <w:snapToGrid w:val="0"/>
        <w:ind w:firstLine="482" w:firstLineChars="0"/>
        <w:jc w:val="both"/>
        <w:rPr>
          <w:color w:val="000000" w:themeColor="text1"/>
          <w:sz w:val="24"/>
          <w:szCs w:val="24"/>
        </w:rPr>
      </w:pPr>
      <w:r>
        <w:rPr>
          <w:rFonts w:hint="eastAsia"/>
          <w:color w:val="000000" w:themeColor="text1"/>
          <w:sz w:val="24"/>
          <w:szCs w:val="24"/>
        </w:rPr>
        <w:t>（2）施工期钻井废水依托设施</w:t>
      </w:r>
    </w:p>
    <w:p>
      <w:pPr>
        <w:pStyle w:val="15"/>
        <w:spacing w:line="360" w:lineRule="auto"/>
        <w:ind w:firstLine="482" w:firstLineChars="0"/>
        <w:rPr>
          <w:color w:val="000000" w:themeColor="text1"/>
          <w:kern w:val="2"/>
        </w:rPr>
      </w:pPr>
      <w:r>
        <w:rPr>
          <w:rFonts w:hint="eastAsia"/>
          <w:color w:val="000000" w:themeColor="text1"/>
        </w:rPr>
        <w:t>施工期钻井废水</w:t>
      </w:r>
      <w:r>
        <w:rPr>
          <w:rFonts w:hint="eastAsia" w:ascii="Times New Roman" w:hAnsi="Times New Roman" w:cs="宋体"/>
          <w:kern w:val="2"/>
        </w:rPr>
        <w:t>通过罐车拉运至</w:t>
      </w:r>
      <w:r>
        <w:rPr>
          <w:rFonts w:hint="eastAsia" w:ascii="Times New Roman" w:hAnsi="Times New Roman" w:cs="宋体"/>
          <w:kern w:val="2"/>
          <w:lang w:val="en-US" w:eastAsia="zh-CN"/>
        </w:rPr>
        <w:t>临盘采油厂废液处理站</w:t>
      </w:r>
      <w:r>
        <w:rPr>
          <w:rFonts w:hint="eastAsia" w:ascii="Times New Roman" w:hAnsi="Times New Roman" w:cs="宋体"/>
          <w:kern w:val="2"/>
        </w:rPr>
        <w:t>进行处理后进入</w:t>
      </w:r>
      <w:r>
        <w:rPr>
          <w:rFonts w:hint="eastAsia" w:ascii="Times New Roman" w:hAnsi="Times New Roman" w:cs="宋体"/>
          <w:kern w:val="2"/>
          <w:lang w:val="en-US" w:eastAsia="zh-CN"/>
        </w:rPr>
        <w:t>临中污水站</w:t>
      </w:r>
      <w:r>
        <w:rPr>
          <w:rFonts w:hint="eastAsia" w:ascii="Times New Roman" w:hAnsi="Times New Roman" w:cs="宋体"/>
          <w:kern w:val="2"/>
        </w:rPr>
        <w:t>污水处理系统进一步处理，处理达标后回注地层</w:t>
      </w:r>
      <w:r>
        <w:rPr>
          <w:rFonts w:hint="eastAsia"/>
          <w:color w:val="000000" w:themeColor="text1"/>
          <w:kern w:val="2"/>
        </w:rPr>
        <w:t>。</w:t>
      </w:r>
    </w:p>
    <w:p>
      <w:pPr>
        <w:pStyle w:val="20"/>
        <w:widowControl w:val="0"/>
        <w:adjustRightInd w:val="0"/>
        <w:snapToGrid w:val="0"/>
        <w:ind w:firstLine="482" w:firstLineChars="0"/>
        <w:jc w:val="both"/>
        <w:rPr>
          <w:sz w:val="24"/>
          <w:szCs w:val="24"/>
        </w:rPr>
      </w:pPr>
      <w:r>
        <w:rPr>
          <w:rFonts w:hint="eastAsia"/>
          <w:sz w:val="24"/>
          <w:szCs w:val="24"/>
        </w:rPr>
        <w:t>（3）钻井固体废物处理依托设施</w:t>
      </w:r>
    </w:p>
    <w:p>
      <w:pPr>
        <w:pStyle w:val="15"/>
        <w:spacing w:line="360" w:lineRule="auto"/>
      </w:pPr>
      <w:r>
        <w:rPr>
          <w:rFonts w:hint="default" w:ascii="Times New Roman" w:hAnsi="Times New Roman" w:cs="Times New Roman"/>
          <w:color w:val="000000"/>
        </w:rPr>
        <w:t>固废临时贮存于泥浆池中</w:t>
      </w:r>
      <w:r>
        <w:rPr>
          <w:rFonts w:hint="eastAsia" w:ascii="Times New Roman" w:hAnsi="Times New Roman" w:cs="Times New Roman"/>
          <w:color w:val="000000"/>
          <w:lang w:eastAsia="zh-CN"/>
        </w:rPr>
        <w:t>，</w:t>
      </w:r>
      <w:r>
        <w:rPr>
          <w:rFonts w:hint="default" w:ascii="Times New Roman" w:hAnsi="Times New Roman" w:cs="Times New Roman"/>
          <w:color w:val="000000"/>
        </w:rPr>
        <w:t>待完井后对其采用了就地固化后覆土填埋的方式处理</w:t>
      </w:r>
      <w:r>
        <w:rPr>
          <w:rFonts w:hint="eastAsia"/>
        </w:rPr>
        <w:t>。</w:t>
      </w:r>
    </w:p>
    <w:p>
      <w:pPr>
        <w:pStyle w:val="20"/>
        <w:adjustRightInd w:val="0"/>
        <w:snapToGrid w:val="0"/>
        <w:ind w:firstLine="480"/>
        <w:jc w:val="both"/>
        <w:rPr>
          <w:sz w:val="24"/>
          <w:szCs w:val="24"/>
        </w:rPr>
      </w:pPr>
      <w:r>
        <w:rPr>
          <w:rFonts w:hint="eastAsia"/>
          <w:sz w:val="24"/>
          <w:szCs w:val="24"/>
        </w:rPr>
        <w:t>（4）油泥砂贮存、处置依托设施</w:t>
      </w:r>
    </w:p>
    <w:p>
      <w:pPr>
        <w:pStyle w:val="15"/>
        <w:spacing w:line="360" w:lineRule="auto"/>
        <w:rPr>
          <w:kern w:val="2"/>
        </w:rPr>
      </w:pPr>
      <w:r>
        <w:rPr>
          <w:rFonts w:hint="eastAsia"/>
          <w:snapToGrid w:val="0"/>
          <w:kern w:val="2"/>
        </w:rPr>
        <w:t>运营期产生的</w:t>
      </w:r>
      <w:r>
        <w:rPr>
          <w:snapToGrid w:val="0"/>
          <w:kern w:val="2"/>
        </w:rPr>
        <w:t>油泥砂</w:t>
      </w:r>
      <w:r>
        <w:rPr>
          <w:rFonts w:hint="eastAsia"/>
          <w:snapToGrid w:val="0"/>
          <w:kern w:val="2"/>
        </w:rPr>
        <w:t>暂存于在</w:t>
      </w:r>
      <w:r>
        <w:rPr>
          <w:rFonts w:hint="eastAsia" w:ascii="Times New Roman" w:hAnsi="Times New Roman" w:cs="Times New Roman"/>
          <w:color w:val="000000"/>
          <w:lang w:val="en-US" w:eastAsia="zh-CN"/>
        </w:rPr>
        <w:t>临盘采油厂油泥砂贮存场</w:t>
      </w:r>
      <w:r>
        <w:rPr>
          <w:rFonts w:hint="eastAsia"/>
          <w:snapToGrid w:val="0"/>
          <w:kern w:val="2"/>
        </w:rPr>
        <w:t>，最终</w:t>
      </w:r>
      <w:r>
        <w:rPr>
          <w:snapToGrid w:val="0"/>
          <w:kern w:val="2"/>
        </w:rPr>
        <w:t>由</w:t>
      </w:r>
      <w:r>
        <w:rPr>
          <w:rFonts w:hint="default"/>
          <w:snapToGrid w:val="0"/>
          <w:kern w:val="2"/>
        </w:rPr>
        <w:t>胜利油田金岛实业有限责任公司</w:t>
      </w:r>
      <w:r>
        <w:rPr>
          <w:snapToGrid w:val="0"/>
          <w:kern w:val="2"/>
        </w:rPr>
        <w:t>无害化处理。</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ascii="Times New Roman" w:hAnsi="Times New Roman" w:eastAsia="宋体"/>
          <w:b/>
          <w:bCs/>
          <w:sz w:val="28"/>
          <w:szCs w:val="28"/>
        </w:rPr>
        <w:t>验收过程简况</w:t>
      </w:r>
    </w:p>
    <w:p>
      <w:pPr>
        <w:spacing w:after="0" w:line="360" w:lineRule="auto"/>
        <w:ind w:firstLine="480" w:firstLineChars="200"/>
        <w:jc w:val="both"/>
        <w:rPr>
          <w:rFonts w:ascii="宋体" w:hAnsi="宋体" w:eastAsia="宋体" w:cs="宋体"/>
          <w:color w:val="000000"/>
          <w:sz w:val="24"/>
          <w:szCs w:val="24"/>
        </w:rPr>
      </w:pPr>
      <w:r>
        <w:rPr>
          <w:rFonts w:hint="eastAsia" w:ascii="宋体" w:hAnsi="宋体" w:eastAsia="宋体" w:cs="宋体"/>
          <w:color w:val="000000"/>
          <w:sz w:val="24"/>
          <w:szCs w:val="24"/>
        </w:rPr>
        <w:t>本项目验收过程见表</w:t>
      </w:r>
      <w:r>
        <w:rPr>
          <w:rStyle w:val="11"/>
        </w:rPr>
        <w:t>1</w:t>
      </w:r>
      <w:r>
        <w:rPr>
          <w:rFonts w:ascii="宋体" w:hAnsi="宋体" w:eastAsia="宋体" w:cs="宋体"/>
          <w:color w:val="000000"/>
          <w:sz w:val="24"/>
          <w:szCs w:val="24"/>
        </w:rPr>
        <w:t>。</w:t>
      </w:r>
    </w:p>
    <w:p>
      <w:pPr>
        <w:pStyle w:val="18"/>
        <w:adjustRightInd w:val="0"/>
        <w:snapToGrid w:val="0"/>
        <w:spacing w:beforeLines="0" w:line="360" w:lineRule="auto"/>
        <w:rPr>
          <w:kern w:val="0"/>
        </w:rPr>
      </w:pPr>
      <w:r>
        <w:rPr>
          <w:rFonts w:hint="eastAsia"/>
          <w:kern w:val="0"/>
        </w:rPr>
        <w:t>表1  竣工环境保护验收过程一览表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541"/>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Align w:val="center"/>
          </w:tcPr>
          <w:p>
            <w:pPr>
              <w:pStyle w:val="14"/>
            </w:pPr>
            <w:r>
              <w:t>项目名称</w:t>
            </w:r>
          </w:p>
        </w:tc>
        <w:tc>
          <w:tcPr>
            <w:tcW w:w="1368" w:type="pct"/>
          </w:tcPr>
          <w:p>
            <w:pPr>
              <w:pStyle w:val="14"/>
            </w:pPr>
            <w:r>
              <w:t>程序流程</w:t>
            </w:r>
          </w:p>
        </w:tc>
        <w:tc>
          <w:tcPr>
            <w:tcW w:w="2194" w:type="pct"/>
            <w:vAlign w:val="center"/>
          </w:tcPr>
          <w:p>
            <w:pPr>
              <w:pStyle w:val="14"/>
            </w:pPr>
            <w: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restart"/>
            <w:vAlign w:val="center"/>
          </w:tcPr>
          <w:p>
            <w:pPr>
              <w:pStyle w:val="14"/>
            </w:pPr>
            <w:r>
              <w:rPr>
                <w:rFonts w:hint="default"/>
              </w:rPr>
              <w:t>临盘采油厂商河油田商15-斜3井等零散井调整工程</w:t>
            </w:r>
          </w:p>
        </w:tc>
        <w:tc>
          <w:tcPr>
            <w:tcW w:w="1368" w:type="pct"/>
          </w:tcPr>
          <w:p>
            <w:pPr>
              <w:pStyle w:val="14"/>
              <w:rPr>
                <w:rFonts w:ascii="Times New Roman" w:hAnsi="Times New Roman"/>
              </w:rPr>
            </w:pPr>
            <w:r>
              <w:rPr>
                <w:rFonts w:ascii="Times New Roman" w:hAnsi="Times New Roman"/>
              </w:rPr>
              <w:t>竣工时间</w:t>
            </w:r>
          </w:p>
        </w:tc>
        <w:tc>
          <w:tcPr>
            <w:tcW w:w="2194" w:type="pct"/>
            <w:vAlign w:val="center"/>
          </w:tcPr>
          <w:p>
            <w:pPr>
              <w:pStyle w:val="14"/>
              <w:rPr>
                <w:rFonts w:ascii="Times New Roman" w:hAnsi="Times New Roman"/>
              </w:rPr>
            </w:pPr>
            <w:r>
              <w:rPr>
                <w:rFonts w:ascii="Times New Roman" w:hAnsi="Times New Roman"/>
              </w:rPr>
              <w:t>2019年1</w:t>
            </w:r>
            <w:r>
              <w:rPr>
                <w:rFonts w:hint="eastAsia" w:ascii="Times New Roman" w:hAnsi="Times New Roman"/>
                <w:lang w:val="en-US" w:eastAsia="zh-CN"/>
              </w:rPr>
              <w:t>1</w:t>
            </w:r>
            <w:r>
              <w:rPr>
                <w:rFonts w:ascii="Times New Roman" w:hAnsi="Times New Roman"/>
              </w:rPr>
              <w:t>月</w:t>
            </w:r>
            <w:r>
              <w:rPr>
                <w:rFonts w:hint="eastAsia" w:ascii="Times New Roman" w:hAnsi="Times New Roman"/>
                <w:lang w:val="en-US" w:eastAsia="zh-CN"/>
              </w:rPr>
              <w:t>20</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14"/>
            </w:pPr>
          </w:p>
        </w:tc>
        <w:tc>
          <w:tcPr>
            <w:tcW w:w="1368" w:type="pct"/>
          </w:tcPr>
          <w:p>
            <w:pPr>
              <w:pStyle w:val="14"/>
              <w:rPr>
                <w:rFonts w:ascii="Times New Roman" w:hAnsi="Times New Roman"/>
              </w:rPr>
            </w:pPr>
            <w:r>
              <w:rPr>
                <w:rFonts w:ascii="Times New Roman" w:hAnsi="Times New Roman"/>
              </w:rPr>
              <w:t>委托时间</w:t>
            </w:r>
          </w:p>
        </w:tc>
        <w:tc>
          <w:tcPr>
            <w:tcW w:w="2194" w:type="pct"/>
            <w:vAlign w:val="center"/>
          </w:tcPr>
          <w:p>
            <w:pPr>
              <w:pStyle w:val="14"/>
              <w:rPr>
                <w:rFonts w:ascii="Times New Roman" w:hAnsi="Times New Roma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1</w:t>
            </w:r>
            <w:r>
              <w:rPr>
                <w:rFonts w:ascii="Times New Roman" w:hAnsi="Times New Roma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14"/>
            </w:pPr>
          </w:p>
        </w:tc>
        <w:tc>
          <w:tcPr>
            <w:tcW w:w="1368" w:type="pct"/>
          </w:tcPr>
          <w:p>
            <w:pPr>
              <w:pStyle w:val="14"/>
              <w:rPr>
                <w:rFonts w:ascii="Times New Roman" w:hAnsi="Times New Roman"/>
              </w:rPr>
            </w:pPr>
            <w:r>
              <w:rPr>
                <w:rFonts w:ascii="Times New Roman" w:hAnsi="Times New Roman"/>
              </w:rPr>
              <w:t>调试时间</w:t>
            </w:r>
          </w:p>
        </w:tc>
        <w:tc>
          <w:tcPr>
            <w:tcW w:w="2194" w:type="pct"/>
            <w:vAlign w:val="center"/>
          </w:tcPr>
          <w:p>
            <w:pPr>
              <w:pStyle w:val="14"/>
              <w:rPr>
                <w:rFonts w:ascii="Times New Roman" w:hAnsi="Times New Roman"/>
              </w:rPr>
            </w:pPr>
            <w:r>
              <w:rPr>
                <w:rFonts w:ascii="Times New Roman" w:hAnsi="Times New Roman"/>
                <w:szCs w:val="24"/>
              </w:rPr>
              <w:t>2019年</w:t>
            </w:r>
            <w:r>
              <w:rPr>
                <w:rFonts w:hint="eastAsia" w:ascii="Times New Roman" w:hAnsi="Times New Roman"/>
                <w:szCs w:val="24"/>
                <w:lang w:val="en-US" w:eastAsia="zh-CN"/>
              </w:rPr>
              <w:t>11</w:t>
            </w:r>
            <w:r>
              <w:rPr>
                <w:rFonts w:ascii="Times New Roman" w:hAnsi="Times New Roman"/>
                <w:szCs w:val="24"/>
              </w:rPr>
              <w:t>月——2020年</w:t>
            </w:r>
            <w:r>
              <w:rPr>
                <w:rFonts w:hint="eastAsia" w:ascii="Times New Roman" w:hAnsi="Times New Roman"/>
                <w:szCs w:val="24"/>
                <w:lang w:val="en-US" w:eastAsia="zh-CN"/>
              </w:rPr>
              <w:t>6</w:t>
            </w:r>
            <w:r>
              <w:rPr>
                <w:rFonts w:ascii="Times New Roman" w:hAnsi="Times New Roman"/>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14"/>
            </w:pPr>
          </w:p>
        </w:tc>
        <w:tc>
          <w:tcPr>
            <w:tcW w:w="1368" w:type="pct"/>
            <w:vAlign w:val="center"/>
          </w:tcPr>
          <w:p>
            <w:pPr>
              <w:pStyle w:val="14"/>
              <w:rPr>
                <w:rFonts w:ascii="Times New Roman" w:hAnsi="Times New Roman"/>
              </w:rPr>
            </w:pPr>
            <w:r>
              <w:rPr>
                <w:rFonts w:ascii="Times New Roman" w:hAnsi="Times New Roman"/>
              </w:rPr>
              <w:t>检测时间</w:t>
            </w:r>
          </w:p>
        </w:tc>
        <w:tc>
          <w:tcPr>
            <w:tcW w:w="2194" w:type="pct"/>
            <w:vAlign w:val="center"/>
          </w:tcPr>
          <w:p>
            <w:pPr>
              <w:pStyle w:val="14"/>
              <w:rPr>
                <w:rFonts w:ascii="Times New Roman" w:hAnsi="Times New Roman"/>
              </w:rPr>
            </w:pPr>
            <w:r>
              <w:rPr>
                <w:rFonts w:ascii="Times New Roman" w:hAnsi="Times New Roman"/>
              </w:rPr>
              <w:t>20</w:t>
            </w:r>
            <w:r>
              <w:rPr>
                <w:rFonts w:hint="eastAsia" w:ascii="Times New Roman" w:hAnsi="Times New Roman"/>
                <w:lang w:val="en-US" w:eastAsia="zh-CN"/>
              </w:rPr>
              <w:t>20</w:t>
            </w:r>
            <w:r>
              <w:rPr>
                <w:rFonts w:ascii="Times New Roman" w:hAnsi="Times New Roman"/>
              </w:rPr>
              <w:t>年</w:t>
            </w:r>
            <w:r>
              <w:rPr>
                <w:rFonts w:hint="eastAsia" w:ascii="Times New Roman" w:hAnsi="Times New Roman"/>
                <w:lang w:val="en-US" w:eastAsia="zh-CN"/>
              </w:rPr>
              <w:t>4</w:t>
            </w:r>
            <w:r>
              <w:rPr>
                <w:rFonts w:ascii="Times New Roman" w:hAnsi="Times New Roma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14"/>
            </w:pPr>
          </w:p>
        </w:tc>
        <w:tc>
          <w:tcPr>
            <w:tcW w:w="1368" w:type="pct"/>
          </w:tcPr>
          <w:p>
            <w:pPr>
              <w:pStyle w:val="14"/>
              <w:rPr>
                <w:rFonts w:ascii="Times New Roman" w:hAnsi="Times New Roman"/>
              </w:rPr>
            </w:pPr>
            <w:r>
              <w:rPr>
                <w:rFonts w:ascii="Times New Roman" w:hAnsi="Times New Roman"/>
              </w:rPr>
              <w:t>自主验收时间</w:t>
            </w:r>
          </w:p>
        </w:tc>
        <w:tc>
          <w:tcPr>
            <w:tcW w:w="2194" w:type="pct"/>
            <w:vAlign w:val="center"/>
          </w:tcPr>
          <w:p>
            <w:pPr>
              <w:pStyle w:val="14"/>
              <w:rPr>
                <w:rFonts w:ascii="Times New Roman" w:hAnsi="Times New Roman"/>
              </w:rPr>
            </w:pPr>
            <w:r>
              <w:rPr>
                <w:rFonts w:ascii="Times New Roman" w:hAnsi="Times New Roman"/>
              </w:rPr>
              <w:t>2020年</w:t>
            </w:r>
            <w:r>
              <w:rPr>
                <w:rFonts w:hint="eastAsia" w:ascii="Times New Roman" w:hAnsi="Times New Roman"/>
                <w:lang w:val="en-US" w:eastAsia="zh-CN"/>
              </w:rPr>
              <w:t>5</w:t>
            </w:r>
            <w:r>
              <w:rPr>
                <w:rFonts w:ascii="Times New Roman" w:hAnsi="Times New Roman"/>
              </w:rPr>
              <w:t>月</w:t>
            </w:r>
            <w:r>
              <w:rPr>
                <w:rFonts w:hint="eastAsia" w:ascii="Times New Roman" w:hAnsi="Times New Roman"/>
                <w:lang w:val="en-US" w:eastAsia="zh-CN"/>
              </w:rPr>
              <w:t>22</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14"/>
            </w:pPr>
          </w:p>
        </w:tc>
        <w:tc>
          <w:tcPr>
            <w:tcW w:w="1368" w:type="pct"/>
          </w:tcPr>
          <w:p>
            <w:pPr>
              <w:pStyle w:val="14"/>
              <w:rPr>
                <w:rFonts w:ascii="Times New Roman" w:hAnsi="Times New Roman"/>
              </w:rPr>
            </w:pPr>
            <w:r>
              <w:rPr>
                <w:rFonts w:ascii="Times New Roman" w:hAnsi="Times New Roman"/>
              </w:rPr>
              <w:t>验收报告公示时间</w:t>
            </w:r>
          </w:p>
        </w:tc>
        <w:tc>
          <w:tcPr>
            <w:tcW w:w="2194" w:type="pct"/>
            <w:vAlign w:val="center"/>
          </w:tcPr>
          <w:p>
            <w:pPr>
              <w:pStyle w:val="14"/>
              <w:rPr>
                <w:rFonts w:ascii="Times New Roman" w:hAnsi="Times New Roman"/>
              </w:rPr>
            </w:pPr>
            <w:r>
              <w:rPr>
                <w:rFonts w:ascii="Times New Roman" w:hAnsi="Times New Roman"/>
              </w:rPr>
              <w:t>2020年</w:t>
            </w:r>
            <w:r>
              <w:rPr>
                <w:rFonts w:hint="eastAsia" w:ascii="Times New Roman" w:hAnsi="Times New Roman"/>
                <w:lang w:val="en-US" w:eastAsia="zh-CN"/>
              </w:rPr>
              <w:t>6</w:t>
            </w:r>
            <w:r>
              <w:rPr>
                <w:rFonts w:ascii="Times New Roman" w:hAnsi="Times New Roman"/>
              </w:rPr>
              <w:t>月</w:t>
            </w:r>
            <w:r>
              <w:rPr>
                <w:rFonts w:hint="eastAsia" w:ascii="Times New Roman" w:hAnsi="Times New Roman"/>
                <w:lang w:val="en-US" w:eastAsia="zh-CN"/>
              </w:rPr>
              <w:t>11</w:t>
            </w:r>
            <w:r>
              <w:rPr>
                <w:rFonts w:ascii="Times New Roman" w:hAnsi="Times New Roman"/>
              </w:rPr>
              <w:t>日—</w:t>
            </w:r>
            <w:r>
              <w:rPr>
                <w:rFonts w:hint="eastAsia" w:ascii="Times New Roman" w:hAnsi="Times New Roman"/>
                <w:lang w:val="en-US" w:eastAsia="zh-CN"/>
              </w:rPr>
              <w:t>7</w:t>
            </w:r>
            <w:r>
              <w:rPr>
                <w:rFonts w:ascii="Times New Roman" w:hAnsi="Times New Roman"/>
              </w:rPr>
              <w:t>月</w:t>
            </w:r>
            <w:r>
              <w:rPr>
                <w:rFonts w:hint="eastAsia" w:ascii="Times New Roman" w:hAnsi="Times New Roman"/>
                <w:lang w:val="en-US" w:eastAsia="zh-CN"/>
              </w:rPr>
              <w:t>11</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pct"/>
            <w:vMerge w:val="continue"/>
            <w:vAlign w:val="center"/>
          </w:tcPr>
          <w:p>
            <w:pPr>
              <w:pStyle w:val="14"/>
            </w:pPr>
          </w:p>
        </w:tc>
        <w:tc>
          <w:tcPr>
            <w:tcW w:w="1368" w:type="pct"/>
          </w:tcPr>
          <w:p>
            <w:pPr>
              <w:pStyle w:val="14"/>
              <w:rPr>
                <w:rFonts w:ascii="Times New Roman" w:hAnsi="Times New Roman"/>
              </w:rPr>
            </w:pPr>
            <w:r>
              <w:rPr>
                <w:rFonts w:ascii="Times New Roman" w:hAnsi="Times New Roman"/>
              </w:rPr>
              <w:t>全国网公示时间</w:t>
            </w:r>
          </w:p>
        </w:tc>
        <w:tc>
          <w:tcPr>
            <w:tcW w:w="2194" w:type="pct"/>
            <w:vAlign w:val="center"/>
          </w:tcPr>
          <w:p>
            <w:pPr>
              <w:pStyle w:val="14"/>
              <w:rPr>
                <w:rFonts w:ascii="Times New Roman" w:hAnsi="Times New Roman"/>
              </w:rPr>
            </w:pPr>
          </w:p>
        </w:tc>
      </w:tr>
    </w:tbl>
    <w:p>
      <w:pPr>
        <w:spacing w:after="0" w:line="360" w:lineRule="auto"/>
        <w:ind w:firstLine="482"/>
        <w:jc w:val="both"/>
        <w:rPr>
          <w:rFonts w:ascii="Times New Roman" w:hAnsi="Times New Roman" w:eastAsia="宋体"/>
          <w:b/>
          <w:bCs/>
          <w:sz w:val="21"/>
          <w:szCs w:val="21"/>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2其他环境保护措施的落实情况</w:t>
      </w:r>
    </w:p>
    <w:p>
      <w:pPr>
        <w:spacing w:after="0" w:line="360" w:lineRule="auto"/>
        <w:ind w:firstLine="482"/>
        <w:jc w:val="both"/>
        <w:rPr>
          <w:rFonts w:ascii="Times New Roman" w:hAnsi="Times New Roman" w:eastAsia="宋体"/>
          <w:b/>
          <w:bCs/>
          <w:sz w:val="28"/>
          <w:szCs w:val="28"/>
        </w:rPr>
      </w:pPr>
      <w:r>
        <w:rPr>
          <w:rFonts w:ascii="Times New Roman" w:hAnsi="Times New Roman" w:eastAsia="宋体"/>
          <w:b/>
          <w:bCs/>
          <w:sz w:val="28"/>
          <w:szCs w:val="28"/>
        </w:rPr>
        <w:t>2.1制度措施落实情况</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2.1.1 环保组织机构</w:t>
      </w:r>
    </w:p>
    <w:p>
      <w:pPr>
        <w:pStyle w:val="15"/>
        <w:spacing w:line="360" w:lineRule="auto"/>
      </w:pPr>
      <w:r>
        <w:rPr>
          <w:rFonts w:hint="eastAsia"/>
        </w:rPr>
        <w:t>建设单位QHS</w:t>
      </w:r>
      <w:r>
        <w:t>S</w:t>
      </w:r>
      <w:r>
        <w:rPr>
          <w:rFonts w:hint="eastAsia"/>
        </w:rPr>
        <w:t>E管理</w:t>
      </w:r>
      <w:r>
        <w:rPr>
          <w:rFonts w:hint="eastAsia"/>
          <w:lang w:val="en-US" w:eastAsia="zh-CN"/>
        </w:rPr>
        <w:t>部</w:t>
      </w:r>
      <w:r>
        <w:rPr>
          <w:rFonts w:hint="eastAsia"/>
        </w:rPr>
        <w:t>负责全公司环保专业技术综合管理，机关各业务部门按各自环保管理职责负责分管业务范围内的环保管理。采油厂所属各单位、直属单位按采油厂环保管理实施细则负责本单位环保管理。</w:t>
      </w:r>
    </w:p>
    <w:p>
      <w:pPr>
        <w:pStyle w:val="15"/>
        <w:spacing w:line="360" w:lineRule="auto"/>
      </w:pPr>
      <w:r>
        <w:rPr>
          <w:rFonts w:hint="eastAsia"/>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书提出环保措施的实施。</w:t>
      </w:r>
    </w:p>
    <w:p>
      <w:pPr>
        <w:pStyle w:val="15"/>
        <w:spacing w:line="360" w:lineRule="auto"/>
      </w:pPr>
      <w:r>
        <w:rPr>
          <w:rFonts w:hint="eastAsia"/>
        </w:rPr>
        <w:t>在生产运营期，由建设单位QHS</w:t>
      </w:r>
      <w:r>
        <w:t>S</w:t>
      </w:r>
      <w:r>
        <w:rPr>
          <w:rFonts w:hint="eastAsia"/>
        </w:rPr>
        <w:t>E管理</w:t>
      </w:r>
      <w:r>
        <w:rPr>
          <w:rFonts w:hint="eastAsia"/>
          <w:lang w:val="en-US" w:eastAsia="zh-CN"/>
        </w:rPr>
        <w:t>部</w:t>
      </w:r>
      <w:r>
        <w:rPr>
          <w:rFonts w:hint="eastAsia"/>
        </w:rPr>
        <w:t>统一负责本项目的环保管理工作，在井区内设置专职环保员，负责环保文件和技术资料的归档，协助进行环保工程的验收，负责运营期间的环境监测、事故防范和外部协调工作。</w:t>
      </w:r>
    </w:p>
    <w:p>
      <w:pPr>
        <w:spacing w:after="0" w:line="360" w:lineRule="auto"/>
        <w:ind w:firstLine="482"/>
        <w:jc w:val="both"/>
        <w:rPr>
          <w:rFonts w:ascii="Times New Roman" w:hAnsi="Times New Roman" w:eastAsia="宋体"/>
          <w:b/>
          <w:bCs/>
          <w:sz w:val="24"/>
          <w:szCs w:val="24"/>
        </w:rPr>
      </w:pPr>
      <w:r>
        <w:rPr>
          <w:rFonts w:ascii="Times New Roman" w:hAnsi="Times New Roman" w:eastAsia="宋体"/>
          <w:b/>
          <w:bCs/>
          <w:sz w:val="24"/>
          <w:szCs w:val="24"/>
        </w:rPr>
        <w:t>2.1.</w:t>
      </w: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环境风险防范措施</w:t>
      </w:r>
    </w:p>
    <w:p>
      <w:pPr>
        <w:spacing w:after="0" w:line="360" w:lineRule="auto"/>
        <w:ind w:firstLine="480" w:firstLineChars="200"/>
        <w:rPr>
          <w:rFonts w:ascii="宋体" w:hAnsi="宋体" w:eastAsia="宋体" w:cs="宋体"/>
          <w:color w:val="000000"/>
          <w:sz w:val="24"/>
          <w:szCs w:val="24"/>
        </w:rPr>
      </w:pPr>
      <w:r>
        <w:rPr>
          <w:rFonts w:hint="eastAsia" w:ascii="宋体" w:hAnsi="宋体" w:eastAsia="宋体" w:cs="宋体"/>
          <w:bCs/>
          <w:sz w:val="24"/>
          <w:szCs w:val="24"/>
        </w:rPr>
        <w:t>项目的风险事故主要是</w:t>
      </w:r>
      <w:r>
        <w:rPr>
          <w:rFonts w:hint="eastAsia" w:ascii="宋体" w:hAnsi="宋体" w:eastAsia="宋体" w:cs="宋体"/>
          <w:color w:val="000000"/>
          <w:sz w:val="24"/>
          <w:szCs w:val="24"/>
        </w:rPr>
        <w:t>施工期钻井期间的井喷事故，运营期管线穿孔、破裂造成的泄漏事故。</w:t>
      </w:r>
    </w:p>
    <w:p>
      <w:pPr>
        <w:spacing w:after="0" w:line="360" w:lineRule="auto"/>
        <w:ind w:firstLine="480" w:firstLineChars="200"/>
        <w:rPr>
          <w:rFonts w:ascii="宋体" w:hAnsi="宋体" w:eastAsia="宋体" w:cs="宋体"/>
          <w:bCs/>
          <w:sz w:val="24"/>
          <w:szCs w:val="24"/>
        </w:rPr>
      </w:pPr>
      <w:r>
        <w:rPr>
          <w:rFonts w:hint="eastAsia" w:ascii="Times New Roman" w:hAnsi="Times New Roman" w:eastAsia="宋体" w:cs="宋体"/>
          <w:bCs/>
          <w:color w:val="000000"/>
          <w:sz w:val="24"/>
          <w:szCs w:val="20"/>
          <w:lang w:val="zh-CN"/>
        </w:rPr>
        <w:t>①</w:t>
      </w:r>
      <w:r>
        <w:rPr>
          <w:rFonts w:hint="eastAsia" w:ascii="宋体" w:hAnsi="宋体" w:eastAsia="宋体" w:cs="宋体"/>
          <w:bCs/>
          <w:sz w:val="24"/>
          <w:szCs w:val="24"/>
        </w:rPr>
        <w:t>单井集油管线涂防腐保护层，加强管线巡检，及时发现问题。</w:t>
      </w:r>
    </w:p>
    <w:p>
      <w:pPr>
        <w:spacing w:after="0" w:line="360" w:lineRule="auto"/>
        <w:ind w:firstLine="480" w:firstLineChars="200"/>
        <w:rPr>
          <w:rFonts w:ascii="宋体" w:hAnsi="宋体" w:eastAsia="宋体" w:cs="宋体"/>
          <w:bCs/>
          <w:sz w:val="24"/>
          <w:szCs w:val="24"/>
        </w:rPr>
      </w:pPr>
      <w:r>
        <w:rPr>
          <w:rFonts w:hint="eastAsia" w:ascii="Times New Roman" w:hAnsi="Times New Roman" w:eastAsia="宋体" w:cs="宋体"/>
          <w:bCs/>
          <w:color w:val="000000"/>
          <w:sz w:val="24"/>
          <w:szCs w:val="20"/>
          <w:lang w:val="zh-CN"/>
        </w:rPr>
        <w:t>②</w:t>
      </w:r>
      <w:r>
        <w:rPr>
          <w:rFonts w:hint="eastAsia" w:ascii="宋体" w:hAnsi="宋体" w:eastAsia="宋体" w:cs="宋体"/>
          <w:bCs/>
          <w:sz w:val="24"/>
          <w:szCs w:val="24"/>
        </w:rPr>
        <w:t>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pPr>
        <w:spacing w:after="0" w:line="360" w:lineRule="auto"/>
        <w:ind w:firstLine="482"/>
        <w:jc w:val="both"/>
        <w:rPr>
          <w:rFonts w:ascii="Times New Roman" w:hAnsi="Times New Roman" w:eastAsia="宋体"/>
          <w:b/>
          <w:bCs/>
          <w:sz w:val="24"/>
          <w:szCs w:val="24"/>
        </w:rPr>
      </w:pPr>
      <w:r>
        <w:rPr>
          <w:rFonts w:hint="eastAsia" w:ascii="Times New Roman" w:hAnsi="Times New Roman" w:eastAsia="宋体"/>
          <w:b/>
          <w:bCs/>
          <w:sz w:val="24"/>
          <w:szCs w:val="24"/>
        </w:rPr>
        <w:t>2.1.3</w:t>
      </w:r>
      <w:r>
        <w:rPr>
          <w:rFonts w:ascii="Times New Roman" w:hAnsi="Times New Roman" w:eastAsia="宋体"/>
          <w:b/>
          <w:bCs/>
          <w:sz w:val="24"/>
          <w:szCs w:val="24"/>
        </w:rPr>
        <w:t>环境监测计划</w:t>
      </w:r>
    </w:p>
    <w:p>
      <w:pPr>
        <w:pStyle w:val="15"/>
        <w:spacing w:line="360" w:lineRule="auto"/>
      </w:pPr>
      <w:r>
        <w:rPr>
          <w:rFonts w:hint="eastAsia"/>
        </w:rPr>
        <w:t>本项目已经按环评文件要求制定环境监测计划，目前，企业刚通过竣工环保验收，工作时间较短，尚未进行环境监测。</w:t>
      </w:r>
    </w:p>
    <w:p>
      <w:pPr>
        <w:pStyle w:val="15"/>
        <w:spacing w:line="360" w:lineRule="auto"/>
      </w:pPr>
      <w:r>
        <w:t>通过现场调查发现，</w:t>
      </w:r>
      <w:r>
        <w:rPr>
          <w:rFonts w:hint="eastAsia"/>
          <w:lang w:val="en-US" w:eastAsia="zh-CN"/>
        </w:rPr>
        <w:t>临盘</w:t>
      </w:r>
      <w:r>
        <w:rPr>
          <w:rFonts w:hint="eastAsia"/>
        </w:rPr>
        <w:t>采油厂</w:t>
      </w:r>
      <w:r>
        <w:t>及其下属各施工单位和运营单位对环境保护工作比较重视，在施工期及运营期建立了HSE管理体系。</w:t>
      </w:r>
    </w:p>
    <w:p>
      <w:pPr>
        <w:pStyle w:val="15"/>
        <w:spacing w:line="360" w:lineRule="auto"/>
      </w:pPr>
      <w:r>
        <w:t>从现场调查和监测资料查阅来看，</w:t>
      </w:r>
      <w:r>
        <w:rPr>
          <w:rFonts w:hint="eastAsia"/>
          <w:lang w:val="en-US" w:eastAsia="zh-CN"/>
        </w:rPr>
        <w:t>临盘</w:t>
      </w:r>
      <w:r>
        <w:rPr>
          <w:rFonts w:hint="eastAsia"/>
        </w:rPr>
        <w:t>采油厂</w:t>
      </w:r>
      <w:r>
        <w:t>按照</w:t>
      </w:r>
      <w:r>
        <w:rPr>
          <w:color w:val="000000" w:themeColor="text1"/>
        </w:rPr>
        <w:t>胜利油田QHSSE委员会</w:t>
      </w:r>
      <w:r>
        <w:t>的监测计划，对废气、固体废物处置、噪声进行了现场监测。</w:t>
      </w:r>
    </w:p>
    <w:p>
      <w:pPr>
        <w:pStyle w:val="15"/>
        <w:spacing w:line="360" w:lineRule="auto"/>
        <w:rPr>
          <w:snapToGrid w:val="0"/>
          <w:kern w:val="2"/>
        </w:rPr>
      </w:pPr>
      <w:r>
        <w:rPr>
          <w:rFonts w:hint="eastAsia"/>
        </w:rPr>
        <w:t>建设单位对污染源、污染治理设施运行效果制定了详细的环境监测计划，对于不具备监测能力的委托有资质单位进行。</w:t>
      </w:r>
    </w:p>
    <w:p>
      <w:pPr>
        <w:adjustRightInd/>
        <w:snapToGrid/>
        <w:spacing w:before="260" w:after="260" w:line="415" w:lineRule="auto"/>
        <w:jc w:val="both"/>
        <w:rPr>
          <w:rFonts w:ascii="宋体" w:hAnsi="宋体" w:eastAsia="宋体"/>
          <w:bCs/>
          <w:kern w:val="2"/>
          <w:sz w:val="24"/>
          <w:szCs w:val="24"/>
        </w:rPr>
      </w:pPr>
      <w:r>
        <w:rPr>
          <w:sz w:val="24"/>
          <w:szCs w:val="24"/>
        </w:rPr>
        <w:br w:type="page"/>
      </w:r>
    </w:p>
    <w:p>
      <w:pPr>
        <w:spacing w:after="0" w:line="360" w:lineRule="auto"/>
        <w:ind w:firstLine="482"/>
        <w:jc w:val="both"/>
        <w:rPr>
          <w:rFonts w:ascii="Times New Roman" w:hAnsi="Times New Roman" w:eastAsia="宋体"/>
          <w:b/>
          <w:bCs/>
          <w:sz w:val="24"/>
          <w:szCs w:val="24"/>
        </w:rPr>
      </w:pPr>
      <w:r>
        <w:rPr>
          <w:rFonts w:hint="eastAsia" w:ascii="Times New Roman" w:hAnsi="Times New Roman" w:eastAsia="宋体"/>
          <w:b/>
          <w:bCs/>
          <w:sz w:val="24"/>
          <w:szCs w:val="24"/>
        </w:rPr>
        <w:t>2.1.4关于“环评批复中提出的其他要求”落实情况</w:t>
      </w:r>
    </w:p>
    <w:p>
      <w:pPr>
        <w:pStyle w:val="15"/>
        <w:spacing w:line="360" w:lineRule="auto"/>
      </w:pPr>
      <w:r>
        <w:rPr>
          <w:rFonts w:hint="eastAsia"/>
        </w:rPr>
        <w:t>“环评批复中提出的其它要求”落实情况见表3。</w:t>
      </w:r>
    </w:p>
    <w:p>
      <w:pPr>
        <w:pStyle w:val="18"/>
        <w:adjustRightInd w:val="0"/>
        <w:snapToGrid w:val="0"/>
        <w:spacing w:beforeLines="0" w:line="360" w:lineRule="auto"/>
        <w:rPr>
          <w:kern w:val="0"/>
          <w:sz w:val="24"/>
          <w:szCs w:val="24"/>
        </w:rPr>
      </w:pPr>
      <w:r>
        <w:rPr>
          <w:rFonts w:hint="eastAsia"/>
          <w:kern w:val="0"/>
          <w:sz w:val="24"/>
          <w:szCs w:val="24"/>
        </w:rPr>
        <w:t xml:space="preserve">表3  环评批复中提出的其它要求落实情况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636"/>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Pr>
          <w:p>
            <w:pPr>
              <w:pStyle w:val="14"/>
              <w:rPr>
                <w:snapToGrid w:val="0"/>
              </w:rPr>
            </w:pPr>
            <w:r>
              <w:rPr>
                <w:rFonts w:hint="eastAsia"/>
                <w:snapToGrid w:val="0"/>
              </w:rPr>
              <w:t>序号</w:t>
            </w:r>
          </w:p>
        </w:tc>
        <w:tc>
          <w:tcPr>
            <w:tcW w:w="2496" w:type="pct"/>
            <w:vAlign w:val="center"/>
          </w:tcPr>
          <w:p>
            <w:pPr>
              <w:pStyle w:val="14"/>
              <w:rPr>
                <w:snapToGrid w:val="0"/>
              </w:rPr>
            </w:pPr>
            <w:r>
              <w:rPr>
                <w:rFonts w:hint="eastAsia"/>
                <w:snapToGrid w:val="0"/>
              </w:rPr>
              <w:t>环评批复中提出要求</w:t>
            </w:r>
          </w:p>
        </w:tc>
        <w:tc>
          <w:tcPr>
            <w:tcW w:w="2025" w:type="pct"/>
            <w:vAlign w:val="center"/>
          </w:tcPr>
          <w:p>
            <w:pPr>
              <w:pStyle w:val="14"/>
              <w:rPr>
                <w:snapToGrid w:val="0"/>
              </w:rPr>
            </w:pPr>
            <w:r>
              <w:rPr>
                <w:rFonts w:hint="eastAsia"/>
                <w:snapToGrid w:val="0"/>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pPr>
              <w:pStyle w:val="14"/>
              <w:rPr>
                <w:rFonts w:hAnsi="Times New Roman"/>
              </w:rPr>
            </w:pPr>
            <w:r>
              <w:rPr>
                <w:rFonts w:hint="eastAsia" w:hAnsi="Times New Roman"/>
              </w:rPr>
              <w:t>1</w:t>
            </w:r>
          </w:p>
        </w:tc>
        <w:tc>
          <w:tcPr>
            <w:tcW w:w="2496" w:type="pct"/>
            <w:vAlign w:val="center"/>
          </w:tcPr>
          <w:p>
            <w:pPr>
              <w:pStyle w:val="14"/>
              <w:jc w:val="both"/>
              <w:rPr>
                <w:rFonts w:ascii="Times New Roman" w:hAnsi="Times New Roman"/>
              </w:rPr>
            </w:pPr>
            <w:r>
              <w:rPr>
                <w:rFonts w:hint="eastAsia" w:ascii="Times New Roman" w:cs="宋体"/>
                <w:kern w:val="0"/>
                <w:lang w:val="en-US" w:eastAsia="zh-CN"/>
              </w:rPr>
              <w:t>该项目井场卫生防护距离为50米，项目厂址和周围环境概况符合卫生防护距离要求，其范围内不得新建居民住宅、学校和医院等敏感建筑</w:t>
            </w:r>
            <w:r>
              <w:rPr>
                <w:rFonts w:hint="eastAsia" w:ascii="Times New Roman" w:cs="宋体"/>
                <w:kern w:val="0"/>
              </w:rPr>
              <w:t>。</w:t>
            </w:r>
          </w:p>
        </w:tc>
        <w:tc>
          <w:tcPr>
            <w:tcW w:w="2025" w:type="pct"/>
            <w:vAlign w:val="center"/>
          </w:tcPr>
          <w:p>
            <w:pPr>
              <w:widowControl w:val="0"/>
              <w:autoSpaceDE w:val="0"/>
              <w:autoSpaceDN w:val="0"/>
              <w:spacing w:after="0"/>
              <w:jc w:val="both"/>
              <w:rPr>
                <w:rFonts w:ascii="Times New Roman" w:hAnsi="Times New Roman"/>
                <w:snapToGrid w:val="0"/>
              </w:rPr>
            </w:pPr>
            <w:r>
              <w:rPr>
                <w:rFonts w:hint="eastAsia" w:ascii="Times New Roman" w:hAnsi="Times New Roman" w:eastAsia="宋体" w:cs="宋体"/>
                <w:color w:val="000000"/>
                <w:sz w:val="21"/>
                <w:szCs w:val="21"/>
                <w:lang w:bidi="ar"/>
              </w:rPr>
              <w:t>经现场查看，井场50米范围内没有敏感目标</w:t>
            </w:r>
            <w:r>
              <w:rPr>
                <w:rFonts w:hint="eastAsia" w:ascii="Times New Roman" w:hAnsi="Times New Roman" w:eastAsia="宋体" w:cs="宋体"/>
                <w:color w:val="000000"/>
                <w:sz w:val="21"/>
                <w:szCs w:val="21"/>
              </w:rPr>
              <w:t>。</w:t>
            </w:r>
          </w:p>
        </w:tc>
      </w:tr>
    </w:tbl>
    <w:p>
      <w:pPr>
        <w:pStyle w:val="15"/>
        <w:rPr>
          <w:snapToGrid w:val="0"/>
        </w:rPr>
      </w:pPr>
    </w:p>
    <w:p>
      <w:pPr>
        <w:spacing w:after="0" w:line="360" w:lineRule="auto"/>
        <w:ind w:firstLine="482"/>
        <w:jc w:val="both"/>
        <w:rPr>
          <w:rFonts w:ascii="Times New Roman" w:hAnsi="Times New Roman" w:eastAsia="宋体"/>
          <w:b/>
          <w:bCs/>
          <w:sz w:val="32"/>
          <w:szCs w:val="32"/>
        </w:rPr>
      </w:pPr>
      <w:r>
        <w:rPr>
          <w:rFonts w:ascii="Times New Roman" w:hAnsi="Times New Roman" w:eastAsia="宋体"/>
          <w:b/>
          <w:bCs/>
          <w:sz w:val="32"/>
          <w:szCs w:val="32"/>
        </w:rPr>
        <w:t>3整改工作情况</w:t>
      </w:r>
    </w:p>
    <w:p>
      <w:pPr>
        <w:spacing w:after="0" w:line="360" w:lineRule="auto"/>
        <w:ind w:firstLine="482"/>
        <w:jc w:val="both"/>
        <w:rPr>
          <w:rFonts w:ascii="Times New Roman" w:hAnsi="Times New Roman" w:eastAsia="宋体"/>
          <w:b/>
          <w:bCs/>
          <w:sz w:val="28"/>
          <w:szCs w:val="28"/>
        </w:rPr>
      </w:pPr>
      <w:r>
        <w:rPr>
          <w:rFonts w:hint="eastAsia" w:ascii="Times New Roman" w:hAnsi="Times New Roman" w:eastAsia="宋体"/>
          <w:b/>
          <w:bCs/>
          <w:sz w:val="28"/>
          <w:szCs w:val="28"/>
        </w:rPr>
        <w:t>3.1报告表中提出的原有工程整改情况</w:t>
      </w:r>
    </w:p>
    <w:p>
      <w:pPr>
        <w:pStyle w:val="15"/>
        <w:spacing w:line="360" w:lineRule="auto"/>
      </w:pPr>
      <w:r>
        <w:rPr>
          <w:rFonts w:hint="eastAsia"/>
          <w:snapToGrid w:val="0"/>
        </w:rPr>
        <w:t>本项目为新建项目，不存在原有工程的整改情况</w:t>
      </w:r>
      <w:r>
        <w:rPr>
          <w:rFonts w:hint="eastAsia"/>
        </w:rPr>
        <w:t>。</w:t>
      </w:r>
    </w:p>
    <w:p>
      <w:pPr>
        <w:spacing w:after="0" w:line="360" w:lineRule="auto"/>
        <w:ind w:firstLine="482"/>
        <w:jc w:val="both"/>
        <w:rPr>
          <w:rFonts w:ascii="Times New Roman" w:hAnsi="Times New Roman" w:eastAsia="宋体"/>
          <w:b/>
          <w:bCs/>
          <w:sz w:val="28"/>
          <w:szCs w:val="28"/>
        </w:rPr>
      </w:pPr>
      <w:r>
        <w:rPr>
          <w:rFonts w:hint="eastAsia" w:ascii="Times New Roman" w:hAnsi="Times New Roman" w:eastAsia="宋体"/>
          <w:b/>
          <w:bCs/>
          <w:sz w:val="28"/>
          <w:szCs w:val="28"/>
        </w:rPr>
        <w:t>3.2建设项目竣工环境保护验收意见整改情况</w:t>
      </w:r>
    </w:p>
    <w:p>
      <w:pPr>
        <w:widowControl w:val="0"/>
        <w:adjustRightInd/>
        <w:snapToGrid/>
        <w:spacing w:after="120"/>
        <w:ind w:firstLine="480" w:firstLineChars="200"/>
        <w:jc w:val="both"/>
        <w:rPr>
          <w:rFonts w:ascii="黑体" w:hAnsi="黑体" w:eastAsia="黑体"/>
          <w:bCs/>
          <w:color w:val="000000"/>
          <w:kern w:val="2"/>
          <w:sz w:val="24"/>
          <w:szCs w:val="24"/>
        </w:rPr>
      </w:pPr>
      <w:r>
        <w:rPr>
          <w:rFonts w:hint="eastAsia" w:ascii="黑体" w:hAnsi="黑体" w:eastAsia="黑体"/>
          <w:bCs/>
          <w:color w:val="000000"/>
          <w:kern w:val="2"/>
          <w:sz w:val="24"/>
          <w:szCs w:val="24"/>
        </w:rPr>
        <w:t>整改意见1：</w:t>
      </w:r>
      <w:r>
        <w:rPr>
          <w:rFonts w:hint="eastAsia" w:ascii="黑体" w:hAnsi="黑体" w:eastAsia="黑体"/>
          <w:bCs/>
          <w:color w:val="000000"/>
          <w:kern w:val="2"/>
          <w:sz w:val="24"/>
          <w:szCs w:val="24"/>
          <w:lang w:val="en-US" w:eastAsia="zh-CN"/>
        </w:rPr>
        <w:t>补充泥浆固化前后照片</w:t>
      </w:r>
      <w:r>
        <w:rPr>
          <w:rFonts w:hint="eastAsia" w:ascii="黑体" w:hAnsi="黑体" w:eastAsia="黑体"/>
          <w:bCs/>
          <w:color w:val="000000"/>
          <w:kern w:val="2"/>
          <w:sz w:val="24"/>
          <w:szCs w:val="24"/>
        </w:rPr>
        <w:t>。</w:t>
      </w:r>
    </w:p>
    <w:p>
      <w:pPr>
        <w:widowControl w:val="0"/>
        <w:adjustRightInd/>
        <w:snapToGrid/>
        <w:spacing w:after="120"/>
        <w:ind w:firstLine="480" w:firstLineChars="200"/>
        <w:jc w:val="both"/>
        <w:rPr>
          <w:rFonts w:ascii="宋体" w:hAnsi="宋体" w:eastAsia="宋体"/>
          <w:bCs/>
          <w:color w:val="000000"/>
          <w:kern w:val="2"/>
          <w:sz w:val="24"/>
          <w:szCs w:val="24"/>
        </w:rPr>
      </w:pPr>
      <w:r>
        <w:rPr>
          <w:rFonts w:hint="eastAsia" w:ascii="宋体" w:hAnsi="宋体" w:eastAsia="宋体"/>
          <w:bCs/>
          <w:color w:val="000000"/>
          <w:kern w:val="2"/>
          <w:sz w:val="24"/>
          <w:szCs w:val="24"/>
          <w:lang w:val="en-US" w:eastAsia="zh-CN"/>
        </w:rPr>
        <w:t>整改说明：核实补充了固化泥浆池前后照片，详见报告附件11</w:t>
      </w:r>
      <w:r>
        <w:rPr>
          <w:rFonts w:hint="eastAsia" w:ascii="宋体" w:hAnsi="宋体" w:eastAsia="宋体"/>
          <w:bCs/>
          <w:color w:val="000000"/>
          <w:kern w:val="2"/>
          <w:sz w:val="24"/>
          <w:szCs w:val="24"/>
        </w:rPr>
        <w:t>。</w:t>
      </w:r>
    </w:p>
    <w:p>
      <w:pPr>
        <w:widowControl w:val="0"/>
        <w:spacing w:after="0" w:line="360" w:lineRule="auto"/>
        <w:ind w:firstLine="480" w:firstLineChars="200"/>
        <w:jc w:val="both"/>
        <w:rPr>
          <w:rFonts w:ascii="宋体" w:hAnsi="宋体" w:eastAsia="宋体"/>
          <w:bCs/>
          <w:color w:val="000000"/>
          <w:kern w:val="2"/>
          <w:sz w:val="24"/>
          <w:szCs w:val="24"/>
        </w:rPr>
      </w:pPr>
      <w:bookmarkStart w:id="0" w:name="_GoBack"/>
      <w:bookmarkEnd w:id="0"/>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w:pict>
        <v:shape id="文本框 2"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64B4"/>
    <w:rsid w:val="000109AF"/>
    <w:rsid w:val="00016D39"/>
    <w:rsid w:val="00064996"/>
    <w:rsid w:val="00096C84"/>
    <w:rsid w:val="000B6127"/>
    <w:rsid w:val="0011516E"/>
    <w:rsid w:val="00117263"/>
    <w:rsid w:val="00117AC7"/>
    <w:rsid w:val="00124BDB"/>
    <w:rsid w:val="00176C62"/>
    <w:rsid w:val="00182E20"/>
    <w:rsid w:val="001A46B5"/>
    <w:rsid w:val="001A61F0"/>
    <w:rsid w:val="001F2FD9"/>
    <w:rsid w:val="001F5C49"/>
    <w:rsid w:val="00291B66"/>
    <w:rsid w:val="002E64CF"/>
    <w:rsid w:val="002F351C"/>
    <w:rsid w:val="002F51F6"/>
    <w:rsid w:val="00322BC6"/>
    <w:rsid w:val="00382447"/>
    <w:rsid w:val="003946FB"/>
    <w:rsid w:val="003D5486"/>
    <w:rsid w:val="003E2EC8"/>
    <w:rsid w:val="003E7501"/>
    <w:rsid w:val="00421518"/>
    <w:rsid w:val="00425BE3"/>
    <w:rsid w:val="0045125B"/>
    <w:rsid w:val="004B54D6"/>
    <w:rsid w:val="00514DD1"/>
    <w:rsid w:val="00554EAB"/>
    <w:rsid w:val="00590BFD"/>
    <w:rsid w:val="005D40E3"/>
    <w:rsid w:val="00653403"/>
    <w:rsid w:val="00683036"/>
    <w:rsid w:val="006F5AE9"/>
    <w:rsid w:val="00713C95"/>
    <w:rsid w:val="007A011F"/>
    <w:rsid w:val="007B046D"/>
    <w:rsid w:val="007C40E8"/>
    <w:rsid w:val="007E69CF"/>
    <w:rsid w:val="007F2778"/>
    <w:rsid w:val="00842A03"/>
    <w:rsid w:val="00853DB5"/>
    <w:rsid w:val="00873568"/>
    <w:rsid w:val="008770C6"/>
    <w:rsid w:val="0088545B"/>
    <w:rsid w:val="008B7D91"/>
    <w:rsid w:val="008D3C33"/>
    <w:rsid w:val="008E608E"/>
    <w:rsid w:val="008F0127"/>
    <w:rsid w:val="00931393"/>
    <w:rsid w:val="009355E6"/>
    <w:rsid w:val="00940DA1"/>
    <w:rsid w:val="00942455"/>
    <w:rsid w:val="00945501"/>
    <w:rsid w:val="009742A9"/>
    <w:rsid w:val="00976A8A"/>
    <w:rsid w:val="009A0385"/>
    <w:rsid w:val="009B7044"/>
    <w:rsid w:val="009E2591"/>
    <w:rsid w:val="00A76A53"/>
    <w:rsid w:val="00AD6457"/>
    <w:rsid w:val="00AF10AC"/>
    <w:rsid w:val="00AF6658"/>
    <w:rsid w:val="00B90E8C"/>
    <w:rsid w:val="00BE3360"/>
    <w:rsid w:val="00BF7DC5"/>
    <w:rsid w:val="00C3359F"/>
    <w:rsid w:val="00C4077A"/>
    <w:rsid w:val="00C65451"/>
    <w:rsid w:val="00C925E0"/>
    <w:rsid w:val="00CD1E22"/>
    <w:rsid w:val="00CE7B0B"/>
    <w:rsid w:val="00CF50B8"/>
    <w:rsid w:val="00CF7E43"/>
    <w:rsid w:val="00D364B4"/>
    <w:rsid w:val="00D72DEF"/>
    <w:rsid w:val="00DB58A0"/>
    <w:rsid w:val="00DC774B"/>
    <w:rsid w:val="00DF043E"/>
    <w:rsid w:val="00E05406"/>
    <w:rsid w:val="00E45DCE"/>
    <w:rsid w:val="00E64B26"/>
    <w:rsid w:val="00E75CE5"/>
    <w:rsid w:val="00E95094"/>
    <w:rsid w:val="00EA140E"/>
    <w:rsid w:val="00F122F0"/>
    <w:rsid w:val="00F26AE1"/>
    <w:rsid w:val="00F55E7A"/>
    <w:rsid w:val="00F6125B"/>
    <w:rsid w:val="00F72402"/>
    <w:rsid w:val="00FA32CC"/>
    <w:rsid w:val="00FE4ABB"/>
    <w:rsid w:val="01D8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eastAsia="宋体"/>
      <w:kern w:val="2"/>
      <w:sz w:val="21"/>
    </w:rPr>
  </w:style>
  <w:style w:type="paragraph" w:styleId="3">
    <w:name w:val="Document Map"/>
    <w:basedOn w:val="1"/>
    <w:link w:val="13"/>
    <w:semiHidden/>
    <w:unhideWhenUsed/>
    <w:uiPriority w:val="99"/>
    <w:rPr>
      <w:rFonts w:ascii="宋体" w:eastAsia="宋体"/>
      <w:sz w:val="18"/>
      <w:szCs w:val="18"/>
    </w:rPr>
  </w:style>
  <w:style w:type="paragraph" w:styleId="4">
    <w:name w:val="annotation text"/>
    <w:basedOn w:val="1"/>
    <w:link w:val="17"/>
    <w:qFormat/>
    <w:uiPriority w:val="0"/>
    <w:pPr>
      <w:tabs>
        <w:tab w:val="left" w:pos="377"/>
      </w:tabs>
      <w:adjustRightInd/>
      <w:snapToGrid/>
      <w:spacing w:after="0" w:line="360" w:lineRule="auto"/>
    </w:pPr>
    <w:rPr>
      <w:rFonts w:ascii="宋体" w:hAnsi="Times New Roman" w:eastAsia="宋体"/>
      <w:sz w:val="24"/>
      <w:szCs w:val="24"/>
    </w:rPr>
  </w:style>
  <w:style w:type="paragraph" w:styleId="5">
    <w:name w:val="Balloon Text"/>
    <w:basedOn w:val="1"/>
    <w:link w:val="29"/>
    <w:semiHidden/>
    <w:unhideWhenUsed/>
    <w:uiPriority w:val="99"/>
    <w:pPr>
      <w:spacing w:after="0"/>
    </w:pPr>
    <w:rPr>
      <w:sz w:val="18"/>
      <w:szCs w:val="18"/>
    </w:rPr>
  </w:style>
  <w:style w:type="paragraph" w:styleId="6">
    <w:name w:val="footer"/>
    <w:basedOn w:val="1"/>
    <w:link w:val="12"/>
    <w:uiPriority w:val="0"/>
    <w:pPr>
      <w:tabs>
        <w:tab w:val="center" w:pos="4153"/>
        <w:tab w:val="right" w:pos="8306"/>
      </w:tabs>
    </w:pPr>
    <w:rPr>
      <w:sz w:val="18"/>
    </w:rPr>
  </w:style>
  <w:style w:type="paragraph" w:styleId="7">
    <w:name w:val="header"/>
    <w:basedOn w:val="1"/>
    <w:link w:val="30"/>
    <w:unhideWhenUsed/>
    <w:uiPriority w:val="99"/>
    <w:pPr>
      <w:pBdr>
        <w:bottom w:val="single" w:color="auto" w:sz="6" w:space="1"/>
      </w:pBdr>
      <w:tabs>
        <w:tab w:val="center" w:pos="4153"/>
        <w:tab w:val="right" w:pos="8306"/>
      </w:tabs>
      <w:jc w:val="center"/>
    </w:pPr>
    <w:rPr>
      <w:sz w:val="18"/>
      <w:szCs w:val="18"/>
    </w:rPr>
  </w:style>
  <w:style w:type="table" w:styleId="9">
    <w:name w:val="Table Grid"/>
    <w:basedOn w:val="8"/>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style21"/>
    <w:basedOn w:val="10"/>
    <w:uiPriority w:val="0"/>
    <w:rPr>
      <w:rFonts w:ascii="TimesNewRomanPSMT" w:hAnsi="TimesNewRomanPSMT" w:eastAsia="TimesNewRomanPSMT" w:cs="TimesNewRomanPSMT"/>
      <w:color w:val="000000"/>
      <w:sz w:val="24"/>
      <w:szCs w:val="24"/>
    </w:rPr>
  </w:style>
  <w:style w:type="character" w:customStyle="1" w:styleId="12">
    <w:name w:val="页脚 字符"/>
    <w:basedOn w:val="10"/>
    <w:link w:val="6"/>
    <w:uiPriority w:val="0"/>
    <w:rPr>
      <w:rFonts w:ascii="Tahoma" w:hAnsi="Tahoma" w:eastAsia="微软雅黑" w:cs="Times New Roman"/>
      <w:kern w:val="0"/>
      <w:sz w:val="18"/>
    </w:rPr>
  </w:style>
  <w:style w:type="character" w:customStyle="1" w:styleId="13">
    <w:name w:val="文档结构图 字符"/>
    <w:basedOn w:val="10"/>
    <w:link w:val="3"/>
    <w:semiHidden/>
    <w:uiPriority w:val="99"/>
    <w:rPr>
      <w:rFonts w:ascii="宋体" w:hAnsi="Tahoma" w:eastAsia="宋体" w:cs="Times New Roman"/>
      <w:kern w:val="0"/>
      <w:sz w:val="18"/>
      <w:szCs w:val="18"/>
    </w:rPr>
  </w:style>
  <w:style w:type="paragraph" w:customStyle="1" w:styleId="14">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15">
    <w:name w:val="lm正文"/>
    <w:basedOn w:val="1"/>
    <w:link w:val="16"/>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16">
    <w:name w:val="lm正文 Char"/>
    <w:link w:val="15"/>
    <w:uiPriority w:val="0"/>
    <w:rPr>
      <w:rFonts w:ascii="宋体" w:hAnsi="宋体" w:eastAsia="宋体" w:cs="Times New Roman"/>
      <w:kern w:val="0"/>
      <w:sz w:val="24"/>
      <w:szCs w:val="24"/>
    </w:rPr>
  </w:style>
  <w:style w:type="character" w:customStyle="1" w:styleId="17">
    <w:name w:val="批注文字 字符"/>
    <w:basedOn w:val="10"/>
    <w:link w:val="4"/>
    <w:qFormat/>
    <w:uiPriority w:val="0"/>
    <w:rPr>
      <w:rFonts w:ascii="宋体" w:hAnsi="Times New Roman" w:eastAsia="宋体" w:cs="Times New Roman"/>
      <w:kern w:val="0"/>
      <w:sz w:val="24"/>
      <w:szCs w:val="24"/>
    </w:rPr>
  </w:style>
  <w:style w:type="paragraph" w:customStyle="1" w:styleId="18">
    <w:name w:val="lm表头"/>
    <w:basedOn w:val="1"/>
    <w:link w:val="19"/>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19">
    <w:name w:val="lm表头 Char"/>
    <w:link w:val="18"/>
    <w:qFormat/>
    <w:uiPriority w:val="0"/>
    <w:rPr>
      <w:rFonts w:ascii="宋体" w:hAnsi="宋体" w:eastAsia="宋体" w:cs="Times New Roman"/>
      <w:bCs/>
      <w:szCs w:val="21"/>
    </w:rPr>
  </w:style>
  <w:style w:type="paragraph" w:customStyle="1" w:styleId="20">
    <w:name w:val="样式 正文 首行缩进:  2 字符 SL CON + 首行缩进:  2 字符 + 首行缩进:  2 字符 + 首行缩..."/>
    <w:basedOn w:val="1"/>
    <w:link w:val="25"/>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1">
    <w:name w:val="样式 正文 首行缩进:  2 字符 SL CON + 首行缩进:  2 字符"/>
    <w:basedOn w:val="1"/>
    <w:link w:val="22"/>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2">
    <w:name w:val="样式 正文 首行缩进:  2 字符 SL CON + 首行缩进:  2 字符 Char"/>
    <w:link w:val="21"/>
    <w:qFormat/>
    <w:uiPriority w:val="0"/>
    <w:rPr>
      <w:rFonts w:ascii="宋体" w:hAnsi="Times New Roman" w:eastAsia="宋体" w:cs="Times New Roman"/>
      <w:kern w:val="0"/>
      <w:sz w:val="28"/>
      <w:szCs w:val="20"/>
    </w:rPr>
  </w:style>
  <w:style w:type="paragraph" w:customStyle="1" w:styleId="23">
    <w:name w:val="样式 表（或图）标题"/>
    <w:basedOn w:val="1"/>
    <w:link w:val="24"/>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4">
    <w:name w:val="样式 表（或图）标题 Char"/>
    <w:link w:val="23"/>
    <w:qFormat/>
    <w:uiPriority w:val="0"/>
    <w:rPr>
      <w:rFonts w:ascii="宋体" w:hAnsi="宋体" w:eastAsia="宋体" w:cs="Times New Roman"/>
      <w:b/>
      <w:kern w:val="0"/>
      <w:szCs w:val="20"/>
    </w:rPr>
  </w:style>
  <w:style w:type="character" w:customStyle="1" w:styleId="25">
    <w:name w:val="样式 正文 首行缩进:  2 字符 SL CON + 首行缩进:  2 字符 + 首行缩进:  2 字符 + 首行缩... Char"/>
    <w:link w:val="20"/>
    <w:uiPriority w:val="0"/>
    <w:rPr>
      <w:rFonts w:ascii="宋体" w:hAnsi="宋体" w:eastAsia="宋体" w:cs="Times New Roman"/>
      <w:kern w:val="0"/>
      <w:sz w:val="28"/>
      <w:szCs w:val="20"/>
    </w:rPr>
  </w:style>
  <w:style w:type="paragraph" w:customStyle="1" w:styleId="26">
    <w:name w:val="lm图例"/>
    <w:basedOn w:val="1"/>
    <w:link w:val="27"/>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27">
    <w:name w:val="lm图例 Char"/>
    <w:link w:val="26"/>
    <w:qFormat/>
    <w:uiPriority w:val="0"/>
    <w:rPr>
      <w:rFonts w:ascii="宋体" w:hAnsi="宋体" w:eastAsia="宋体" w:cs="Times New Roman"/>
    </w:rPr>
  </w:style>
  <w:style w:type="paragraph" w:customStyle="1" w:styleId="28">
    <w:name w:val="第四章图件"/>
    <w:basedOn w:val="2"/>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29">
    <w:name w:val="批注框文本 字符"/>
    <w:basedOn w:val="10"/>
    <w:link w:val="5"/>
    <w:semiHidden/>
    <w:uiPriority w:val="99"/>
    <w:rPr>
      <w:rFonts w:ascii="Tahoma" w:hAnsi="Tahoma" w:eastAsia="微软雅黑" w:cs="Times New Roman"/>
      <w:kern w:val="0"/>
      <w:sz w:val="18"/>
      <w:szCs w:val="18"/>
    </w:rPr>
  </w:style>
  <w:style w:type="character" w:customStyle="1" w:styleId="30">
    <w:name w:val="页眉 字符"/>
    <w:basedOn w:val="10"/>
    <w:link w:val="7"/>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689CDE-0E24-4CC9-9F80-13C832760661}"/>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CEA98901-41A1-4DDA-96EB-531FF04D063B}"/>
</file>

<file path=customXml/itemProps4.xml><?xml version="1.0" encoding="utf-8"?>
<ds:datastoreItem xmlns:ds="http://schemas.openxmlformats.org/officeDocument/2006/customXml" ds:itemID="{59AFBEEA-8D62-412E-8458-05357A82F8FF}"/>
</file>

<file path=customXml/itemProps5.xml><?xml version="1.0" encoding="utf-8"?>
<ds:datastoreItem xmlns:ds="http://schemas.openxmlformats.org/officeDocument/2006/customXml" ds:itemID="{170ED0D2-5DF1-4E39-9552-02374427BB18}"/>
</file>

<file path=docProps/app.xml><?xml version="1.0" encoding="utf-8"?>
<Properties xmlns="http://schemas.openxmlformats.org/officeDocument/2006/extended-properties" xmlns:vt="http://schemas.openxmlformats.org/officeDocument/2006/docPropsVTypes">
  <Template>Normal</Template>
  <Company>Microsoft</Company>
  <Pages>3</Pages>
  <Words>279</Words>
  <Characters>1591</Characters>
  <Lines>13</Lines>
  <Paragraphs>3</Paragraphs>
  <TotalTime>1</TotalTime>
  <ScaleCrop>false</ScaleCrop>
  <LinksUpToDate>false</LinksUpToDate>
  <CharactersWithSpaces>1867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123</cp:lastModifiedBy>
  <cp:revision>68</cp:revision>
  <dcterms:created xsi:type="dcterms:W3CDTF">2019-02-25T11:20:00Z</dcterms:created>
  <dcterms:modified xsi:type="dcterms:W3CDTF">2020-07-06T02:43:08Z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ContentTypeId">
    <vt:lpwstr>0x010100313989E510CC474A862876A387D6F14A</vt:lpwstr>
  </property>
</Properties>
</file>