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firstLine="0"/>
        <w:jc w:val="center"/>
        <w:rPr>
          <w:rFonts w:ascii="Times New Roman" w:hAnsi="Times New Roman" w:cs="Times New Roman"/>
        </w:rPr>
      </w:pPr>
      <w:r>
        <w:rPr>
          <w:rFonts w:ascii="Times New Roman" w:hAnsi="Times New Roman" w:cs="Times New Roman"/>
          <w:sz w:val="44"/>
        </w:rPr>
        <w:t xml:space="preserve">其他需要说明的事项  </w:t>
      </w:r>
    </w:p>
    <w:p>
      <w:pPr>
        <w:pStyle w:val="4"/>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环境保护设施设计、施工和验收过程简况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设计简况</w:t>
      </w:r>
    </w:p>
    <w:p>
      <w:pPr>
        <w:spacing w:line="360" w:lineRule="auto"/>
        <w:ind w:firstLine="480"/>
        <w:rPr>
          <w:rFonts w:ascii="Times New Roman" w:hAnsi="Times New Roman" w:cs="Times New Roman"/>
        </w:rPr>
      </w:pPr>
      <w:r>
        <w:rPr>
          <w:rFonts w:ascii="Times New Roman" w:hAnsi="Times New Roman" w:cs="Times New Roman"/>
        </w:rPr>
        <w:t>本项目环境保护设施的设计在可行性研究报告中和初步设计时均有考虑。根据项目特点，主要工程是：</w:t>
      </w:r>
      <w:r>
        <w:t>本项目</w:t>
      </w:r>
      <w:r>
        <w:rPr>
          <w:rFonts w:hint="eastAsia"/>
        </w:rPr>
        <w:t>共部署8</w:t>
      </w:r>
      <w:r>
        <w:t>口油</w:t>
      </w:r>
      <w:r>
        <w:rPr>
          <w:rFonts w:hint="eastAsia"/>
        </w:rPr>
        <w:t>水</w:t>
      </w:r>
      <w:r>
        <w:t>井，</w:t>
      </w:r>
      <w:r>
        <w:rPr>
          <w:rFonts w:hint="eastAsia"/>
          <w:lang w:val="en-US" w:eastAsia="zh-CN"/>
        </w:rPr>
        <w:t>其中</w:t>
      </w:r>
      <w:r>
        <w:rPr>
          <w:rFonts w:hint="eastAsia"/>
        </w:rPr>
        <w:t>油</w:t>
      </w:r>
      <w:r>
        <w:t>井</w:t>
      </w:r>
      <w:r>
        <w:rPr>
          <w:rFonts w:hint="eastAsia"/>
          <w:lang w:val="en-US" w:eastAsia="zh-CN"/>
        </w:rPr>
        <w:t>6口（</w:t>
      </w:r>
      <w:r>
        <w:rPr>
          <w:rFonts w:hint="eastAsia"/>
        </w:rPr>
        <w:t>牛20-侧13</w:t>
      </w:r>
      <w:r>
        <w:rPr>
          <w:rFonts w:hint="eastAsia"/>
          <w:lang w:val="en-US" w:eastAsia="zh-CN"/>
        </w:rPr>
        <w:t>井、</w:t>
      </w:r>
      <w:r>
        <w:rPr>
          <w:rFonts w:hint="eastAsia"/>
        </w:rPr>
        <w:t>史3-8</w:t>
      </w:r>
      <w:r>
        <w:rPr>
          <w:rFonts w:hint="eastAsia"/>
          <w:lang w:val="en-US" w:eastAsia="zh-CN"/>
        </w:rPr>
        <w:t>-</w:t>
      </w:r>
      <w:r>
        <w:rPr>
          <w:rFonts w:hint="eastAsia"/>
        </w:rPr>
        <w:t>侧18</w:t>
      </w:r>
      <w:r>
        <w:rPr>
          <w:rFonts w:hint="eastAsia"/>
          <w:lang w:val="en-US" w:eastAsia="zh-CN"/>
        </w:rPr>
        <w:t>井、王14-侧25C井、河159-更15井、王661-斜20井、王661-斜21井）</w:t>
      </w:r>
      <w:r>
        <w:t>，</w:t>
      </w:r>
      <w:r>
        <w:rPr>
          <w:rFonts w:hint="eastAsia"/>
        </w:rPr>
        <w:t>水</w:t>
      </w:r>
      <w:r>
        <w:t>井</w:t>
      </w:r>
      <w:r>
        <w:rPr>
          <w:rFonts w:hint="eastAsia"/>
          <w:lang w:val="en-US" w:eastAsia="zh-CN"/>
        </w:rPr>
        <w:t>2口（河159-斜更10井</w:t>
      </w:r>
      <w:r>
        <w:rPr>
          <w:rFonts w:hint="eastAsia"/>
          <w:b/>
          <w:bCs/>
          <w:sz w:val="21"/>
          <w:szCs w:val="20"/>
          <w:lang w:val="en-US" w:eastAsia="zh-CN"/>
        </w:rPr>
        <w:t>、</w:t>
      </w:r>
      <w:r>
        <w:rPr>
          <w:rFonts w:hint="eastAsia"/>
          <w:lang w:val="en-US" w:eastAsia="zh-CN"/>
        </w:rPr>
        <w:t>王661-斜22井）</w:t>
      </w:r>
      <w:r>
        <w:rPr>
          <w:rFonts w:hint="eastAsia"/>
        </w:rPr>
        <w:t>；新建40m</w:t>
      </w:r>
      <w:r>
        <w:rPr>
          <w:rFonts w:hint="eastAsia"/>
          <w:vertAlign w:val="superscript"/>
        </w:rPr>
        <w:t>3</w:t>
      </w:r>
      <w:r>
        <w:rPr>
          <w:rFonts w:hint="eastAsia"/>
        </w:rPr>
        <w:t>高架罐1座；</w:t>
      </w:r>
      <w:r>
        <w:rPr>
          <w:rFonts w:hint="eastAsia" w:ascii="宋体" w:hAnsi="Calibri"/>
          <w:szCs w:val="21"/>
        </w:rPr>
        <w:t>并配套建设管线、自控、通信、道路、供配电设施等</w:t>
      </w:r>
      <w:r>
        <w:rPr>
          <w:rFonts w:hint="eastAsia"/>
        </w:rPr>
        <w:t>。</w:t>
      </w:r>
    </w:p>
    <w:p>
      <w:pPr>
        <w:spacing w:after="0" w:line="360" w:lineRule="auto"/>
        <w:ind w:left="0" w:firstLine="560" w:firstLineChars="200"/>
        <w:jc w:val="both"/>
        <w:rPr>
          <w:rFonts w:ascii="Times New Roman" w:hAnsi="Times New Roman" w:eastAsia="宋体" w:cs="Times New Roman"/>
          <w:color w:val="000000"/>
          <w:kern w:val="2"/>
          <w:sz w:val="28"/>
          <w:szCs w:val="22"/>
          <w:lang w:val="en-US" w:eastAsia="zh-CN" w:bidi="ar-SA"/>
        </w:rPr>
      </w:pPr>
      <w:r>
        <w:rPr>
          <w:rFonts w:ascii="Times New Roman" w:hAnsi="Times New Roman" w:eastAsia="宋体" w:cs="Times New Roman"/>
          <w:color w:val="000000"/>
          <w:kern w:val="2"/>
          <w:sz w:val="28"/>
          <w:szCs w:val="22"/>
          <w:lang w:val="en-US" w:eastAsia="zh-CN" w:bidi="ar-SA"/>
        </w:rPr>
        <w:t xml:space="preserve">施工简况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val="en-US" w:eastAsia="zh-CN"/>
        </w:rPr>
        <w:t>现河</w:t>
      </w:r>
      <w:r>
        <w:rPr>
          <w:rFonts w:ascii="Times New Roman" w:hAnsi="Times New Roman" w:cs="Times New Roman"/>
        </w:rPr>
        <w:t>采油厂要求施工单位严格按照合同中要求，在确保环境保护设施的建设进度和资金的保障前提下，严格落实本项目环境影响报告表及其批复（东环建审〔201</w:t>
      </w:r>
      <w:r>
        <w:rPr>
          <w:rFonts w:hint="eastAsia" w:ascii="Times New Roman" w:hAnsi="Times New Roman" w:cs="Times New Roman"/>
          <w:lang w:val="en-US" w:eastAsia="zh-CN"/>
        </w:rPr>
        <w:t>8</w:t>
      </w:r>
      <w:r>
        <w:rPr>
          <w:rFonts w:ascii="Times New Roman" w:hAnsi="Times New Roman" w:cs="Times New Roman"/>
        </w:rPr>
        <w:t>〕</w:t>
      </w:r>
      <w:r>
        <w:rPr>
          <w:rFonts w:hint="eastAsia" w:ascii="Times New Roman" w:hAnsi="Times New Roman" w:cs="Times New Roman"/>
          <w:lang w:val="en-US" w:eastAsia="zh-CN"/>
        </w:rPr>
        <w:t>5131</w:t>
      </w:r>
      <w:r>
        <w:rPr>
          <w:rFonts w:ascii="Times New Roman" w:hAnsi="Times New Roman" w:cs="Times New Roman"/>
        </w:rPr>
        <w:t>号）中提出的生态环境保护工程和污染防治措施。</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验收过程简况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rPr>
        <w:t>8</w:t>
      </w:r>
      <w:r>
        <w:rPr>
          <w:rFonts w:ascii="Times New Roman" w:hAnsi="Times New Roman" w:cs="Times New Roman"/>
        </w:rPr>
        <w:t>年</w:t>
      </w:r>
      <w:r>
        <w:rPr>
          <w:rFonts w:hint="eastAsia" w:ascii="Times New Roman" w:hAnsi="Times New Roman" w:cs="Times New Roman"/>
          <w:lang w:val="en-US" w:eastAsia="zh-CN"/>
        </w:rPr>
        <w:t>7</w:t>
      </w:r>
      <w:r>
        <w:rPr>
          <w:rFonts w:ascii="Times New Roman" w:hAnsi="Times New Roman" w:cs="Times New Roman"/>
        </w:rPr>
        <w:t>月，</w:t>
      </w:r>
      <w:r>
        <w:rPr>
          <w:rFonts w:hint="eastAsia" w:ascii="Times New Roman" w:hAnsi="Times New Roman" w:cs="Times New Roman"/>
          <w:lang w:val="en-US" w:eastAsia="zh-CN"/>
        </w:rPr>
        <w:t>现河</w:t>
      </w:r>
      <w:r>
        <w:rPr>
          <w:rFonts w:ascii="Times New Roman" w:hAnsi="Times New Roman" w:cs="Times New Roman"/>
        </w:rPr>
        <w:t>采油厂委托</w:t>
      </w:r>
      <w:r>
        <w:t>胜利油田检测评价研究有限公司</w:t>
      </w:r>
      <w:r>
        <w:rPr>
          <w:rFonts w:ascii="Times New Roman" w:hAnsi="Times New Roman" w:cs="Times New Roman"/>
        </w:rPr>
        <w:t>对该项目进行了环境影响评价，编制完成了《</w:t>
      </w:r>
      <w:bookmarkStart w:id="0" w:name="_GoBack"/>
      <w:r>
        <w:t>现河采油厂2018年河159-更15井等9口零散井产能建设项目</w:t>
      </w:r>
      <w:bookmarkEnd w:id="0"/>
      <w:r>
        <w:rPr>
          <w:rFonts w:ascii="Times New Roman" w:hAnsi="Times New Roman" w:cs="Times New Roman"/>
        </w:rPr>
        <w:t xml:space="preserve">环境影响报告表》；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8</w:t>
      </w:r>
      <w:r>
        <w:rPr>
          <w:rFonts w:ascii="Times New Roman" w:hAnsi="Times New Roman" w:cs="Times New Roman"/>
        </w:rPr>
        <w:t>年</w:t>
      </w:r>
      <w:r>
        <w:rPr>
          <w:rFonts w:hint="eastAsia" w:ascii="Times New Roman" w:hAnsi="Times New Roman" w:cs="Times New Roman"/>
          <w:lang w:val="en-US" w:eastAsia="zh-CN"/>
        </w:rPr>
        <w:t>8</w:t>
      </w:r>
      <w:r>
        <w:rPr>
          <w:rFonts w:ascii="Times New Roman" w:hAnsi="Times New Roman" w:cs="Times New Roman"/>
        </w:rPr>
        <w:t>月</w:t>
      </w:r>
      <w:r>
        <w:rPr>
          <w:rFonts w:hint="eastAsia" w:ascii="Times New Roman" w:hAnsi="Times New Roman" w:cs="Times New Roman"/>
          <w:lang w:val="en-US" w:eastAsia="zh-CN"/>
        </w:rPr>
        <w:t>9</w:t>
      </w:r>
      <w:r>
        <w:rPr>
          <w:rFonts w:ascii="Times New Roman" w:hAnsi="Times New Roman" w:cs="Times New Roman"/>
        </w:rPr>
        <w:t>日，东营市</w:t>
      </w:r>
      <w:r>
        <w:rPr>
          <w:rFonts w:hint="eastAsia" w:ascii="Times New Roman" w:hAnsi="Times New Roman" w:cs="Times New Roman"/>
          <w:lang w:val="en-US" w:eastAsia="zh-CN"/>
        </w:rPr>
        <w:t>环境保护局</w:t>
      </w:r>
      <w:r>
        <w:rPr>
          <w:rFonts w:ascii="Times New Roman" w:hAnsi="Times New Roman" w:cs="Times New Roman"/>
        </w:rPr>
        <w:t>以“东环建审〔20</w:t>
      </w:r>
      <w:r>
        <w:rPr>
          <w:rFonts w:hint="eastAsia" w:ascii="Times New Roman" w:hAnsi="Times New Roman" w:cs="Times New Roman"/>
        </w:rPr>
        <w:t>1</w:t>
      </w:r>
      <w:r>
        <w:rPr>
          <w:rFonts w:hint="eastAsia" w:ascii="Times New Roman" w:hAnsi="Times New Roman" w:cs="Times New Roman"/>
          <w:lang w:val="en-US" w:eastAsia="zh-CN"/>
        </w:rPr>
        <w:t>8</w:t>
      </w:r>
      <w:r>
        <w:rPr>
          <w:rFonts w:ascii="Times New Roman" w:hAnsi="Times New Roman" w:cs="Times New Roman"/>
        </w:rPr>
        <w:t>〕</w:t>
      </w:r>
      <w:r>
        <w:rPr>
          <w:rFonts w:hint="eastAsia" w:ascii="Times New Roman" w:hAnsi="Times New Roman" w:cs="Times New Roman"/>
          <w:lang w:val="en-US" w:eastAsia="zh-CN"/>
        </w:rPr>
        <w:t>5131</w:t>
      </w:r>
      <w:r>
        <w:rPr>
          <w:rFonts w:ascii="Times New Roman" w:hAnsi="Times New Roman" w:cs="Times New Roman"/>
        </w:rPr>
        <w:t>号”文批复了中国石油化工股份有限公司胜利油田分公司</w:t>
      </w:r>
      <w:r>
        <w:rPr>
          <w:rFonts w:hint="eastAsia" w:ascii="Times New Roman" w:hAnsi="Times New Roman" w:cs="Times New Roman"/>
          <w:lang w:eastAsia="zh-CN"/>
        </w:rPr>
        <w:t>现河</w:t>
      </w:r>
      <w:r>
        <w:rPr>
          <w:rFonts w:ascii="Times New Roman" w:hAnsi="Times New Roman" w:cs="Times New Roman"/>
        </w:rPr>
        <w:t>采油厂《</w:t>
      </w:r>
      <w:r>
        <w:t>现河采油厂2018年河159-更15井等9口零散井产能建设项目</w:t>
      </w:r>
      <w:r>
        <w:rPr>
          <w:rFonts w:ascii="Times New Roman" w:hAnsi="Times New Roman" w:cs="Times New Roman"/>
        </w:rPr>
        <w:t xml:space="preserve">环境影响报告表》；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8</w:t>
      </w:r>
      <w:r>
        <w:rPr>
          <w:rFonts w:ascii="Times New Roman" w:hAnsi="Times New Roman" w:cs="Times New Roman"/>
        </w:rPr>
        <w:t>年</w:t>
      </w:r>
      <w:r>
        <w:rPr>
          <w:rFonts w:hint="eastAsia" w:ascii="Times New Roman" w:hAnsi="Times New Roman" w:cs="Times New Roman"/>
          <w:lang w:val="en-US" w:eastAsia="zh-CN"/>
        </w:rPr>
        <w:t>12</w:t>
      </w:r>
      <w:r>
        <w:rPr>
          <w:rFonts w:ascii="Times New Roman" w:hAnsi="Times New Roman" w:cs="Times New Roman"/>
        </w:rPr>
        <w:t>月</w:t>
      </w:r>
      <w:r>
        <w:rPr>
          <w:rFonts w:hint="eastAsia" w:ascii="Times New Roman" w:hAnsi="Times New Roman" w:cs="Times New Roman"/>
          <w:lang w:val="en-US" w:eastAsia="zh-CN"/>
        </w:rPr>
        <w:t>11</w:t>
      </w:r>
      <w:r>
        <w:rPr>
          <w:rFonts w:ascii="Times New Roman" w:hAnsi="Times New Roman" w:cs="Times New Roman"/>
        </w:rPr>
        <w:t xml:space="preserve">日，工程开始施工；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1</w:t>
      </w:r>
      <w:r>
        <w:rPr>
          <w:rFonts w:ascii="Times New Roman" w:hAnsi="Times New Roman" w:cs="Times New Roman"/>
        </w:rPr>
        <w:t>月</w:t>
      </w:r>
      <w:r>
        <w:rPr>
          <w:rFonts w:hint="eastAsia" w:ascii="Times New Roman" w:hAnsi="Times New Roman" w:cs="Times New Roman"/>
          <w:lang w:val="en-US" w:eastAsia="zh-CN"/>
        </w:rPr>
        <w:t>7</w:t>
      </w:r>
      <w:r>
        <w:rPr>
          <w:rFonts w:ascii="Times New Roman" w:hAnsi="Times New Roman" w:cs="Times New Roman"/>
        </w:rPr>
        <w:t xml:space="preserve">日，工程竣工；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1</w:t>
      </w:r>
      <w:r>
        <w:rPr>
          <w:rFonts w:ascii="Times New Roman" w:hAnsi="Times New Roman" w:cs="Times New Roman"/>
        </w:rPr>
        <w:t>月</w:t>
      </w:r>
      <w:r>
        <w:rPr>
          <w:rFonts w:hint="eastAsia" w:ascii="Times New Roman" w:hAnsi="Times New Roman" w:cs="Times New Roman"/>
        </w:rPr>
        <w:t>2</w:t>
      </w:r>
      <w:r>
        <w:rPr>
          <w:rFonts w:hint="eastAsia" w:ascii="Times New Roman" w:hAnsi="Times New Roman" w:cs="Times New Roman"/>
          <w:lang w:val="en-US" w:eastAsia="zh-CN"/>
        </w:rPr>
        <w:t>0</w:t>
      </w:r>
      <w:r>
        <w:rPr>
          <w:rFonts w:ascii="Times New Roman" w:hAnsi="Times New Roman" w:cs="Times New Roman"/>
        </w:rPr>
        <w:t>日投入试运行；根据《中华人民共和国环境保护法》、《建设项目竣工环境保护验收暂行办法》的要求，20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1</w:t>
      </w:r>
      <w:r>
        <w:rPr>
          <w:rFonts w:ascii="Times New Roman" w:hAnsi="Times New Roman" w:cs="Times New Roman"/>
        </w:rPr>
        <w:t>月，受中国石油化工股份有限公司胜利油田分公司</w:t>
      </w:r>
      <w:r>
        <w:rPr>
          <w:rFonts w:hint="eastAsia" w:ascii="Times New Roman" w:hAnsi="Times New Roman" w:cs="Times New Roman"/>
          <w:lang w:val="en-US" w:eastAsia="zh-CN"/>
        </w:rPr>
        <w:t>现河</w:t>
      </w:r>
      <w:r>
        <w:rPr>
          <w:rFonts w:ascii="Times New Roman" w:hAnsi="Times New Roman" w:cs="Times New Roman"/>
        </w:rPr>
        <w:t xml:space="preserve">采油厂的委托，东营市胜丰职业卫生检测评价有限责任公司承担了该工程环境保护验收调查表的编制工作。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东营市胜丰职业卫生检测评价有限责任公司于20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2</w:t>
      </w:r>
      <w:r>
        <w:rPr>
          <w:rFonts w:ascii="Times New Roman" w:hAnsi="Times New Roman" w:cs="Times New Roman"/>
        </w:rPr>
        <w:t>月安排人员到现场进行了现场勘查和资料收集，查阅了有关文件和技术资料，查看了污染物治理和排放、环保措施的落实情况。根据调查结果，东营市胜丰职业卫生检测评价有限责任公司于20</w:t>
      </w:r>
      <w:r>
        <w:rPr>
          <w:rFonts w:hint="eastAsia" w:ascii="Times New Roman" w:hAnsi="Times New Roman" w:cs="Times New Roman"/>
          <w:lang w:val="en-US" w:eastAsia="zh-CN"/>
        </w:rPr>
        <w:t>20</w:t>
      </w:r>
      <w:r>
        <w:rPr>
          <w:rFonts w:ascii="Times New Roman" w:hAnsi="Times New Roman" w:cs="Times New Roman"/>
        </w:rPr>
        <w:t xml:space="preserve"> 年</w:t>
      </w:r>
      <w:r>
        <w:rPr>
          <w:rFonts w:hint="eastAsia" w:ascii="Times New Roman" w:hAnsi="Times New Roman" w:cs="Times New Roman"/>
          <w:lang w:val="en-US" w:eastAsia="zh-CN"/>
        </w:rPr>
        <w:t>3</w:t>
      </w:r>
      <w:r>
        <w:rPr>
          <w:rFonts w:ascii="Times New Roman" w:hAnsi="Times New Roman" w:cs="Times New Roman"/>
        </w:rPr>
        <w:t>月编写完成了《</w:t>
      </w:r>
      <w:r>
        <w:t>现河采油厂2018年河159-更15井等9口零散井产能建设项目</w:t>
      </w:r>
      <w:r>
        <w:rPr>
          <w:rFonts w:ascii="Times New Roman" w:hAnsi="Times New Roman" w:cs="Times New Roman"/>
        </w:rPr>
        <w:t xml:space="preserve">竣工环境保护验收调查表》。  </w:t>
      </w:r>
    </w:p>
    <w:p>
      <w:pPr>
        <w:pStyle w:val="4"/>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信息公开和公众意见反馈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信息公开 </w:t>
      </w:r>
    </w:p>
    <w:p>
      <w:pPr>
        <w:pStyle w:val="17"/>
        <w:rPr>
          <w:rFonts w:ascii="Times New Roman" w:hAnsi="Times New Roman" w:eastAsiaTheme="minorEastAsia"/>
          <w:lang w:val="en-US"/>
        </w:rPr>
      </w:pPr>
      <w:r>
        <w:rPr>
          <w:rFonts w:ascii="Times New Roman" w:hAnsi="Times New Roman"/>
        </w:rPr>
        <w:t>20</w:t>
      </w:r>
      <w:r>
        <w:rPr>
          <w:rFonts w:hint="eastAsia" w:ascii="Times New Roman" w:hAnsi="Times New Roman"/>
          <w:lang w:val="en-US" w:eastAsia="zh-CN"/>
        </w:rPr>
        <w:t>20</w:t>
      </w:r>
      <w:r>
        <w:rPr>
          <w:rFonts w:ascii="Times New Roman" w:hAnsi="Times New Roman"/>
        </w:rPr>
        <w:t>年</w:t>
      </w:r>
      <w:r>
        <w:rPr>
          <w:rFonts w:hint="eastAsia" w:ascii="Times New Roman" w:hAnsi="Times New Roman"/>
          <w:lang w:val="en-US" w:eastAsia="zh-CN"/>
        </w:rPr>
        <w:t>1</w:t>
      </w:r>
      <w:r>
        <w:rPr>
          <w:rFonts w:ascii="Times New Roman" w:hAnsi="Times New Roman"/>
        </w:rPr>
        <w:t>月</w:t>
      </w:r>
      <w:r>
        <w:rPr>
          <w:rFonts w:hint="eastAsia" w:ascii="Times New Roman" w:hAnsi="Times New Roman"/>
        </w:rPr>
        <w:t>2</w:t>
      </w:r>
      <w:r>
        <w:rPr>
          <w:rFonts w:hint="eastAsia" w:ascii="Times New Roman" w:hAnsi="Times New Roman"/>
          <w:lang w:val="en-US" w:eastAsia="zh-CN"/>
        </w:rPr>
        <w:t>0</w:t>
      </w:r>
      <w:r>
        <w:rPr>
          <w:rFonts w:ascii="Times New Roman" w:hAnsi="Times New Roman"/>
        </w:rPr>
        <w:t>日，</w:t>
      </w:r>
      <w:r>
        <w:rPr>
          <w:rFonts w:hint="eastAsia" w:ascii="Times New Roman" w:hAnsi="Times New Roman"/>
          <w:lang w:eastAsia="zh-CN"/>
        </w:rPr>
        <w:t>现河</w:t>
      </w:r>
      <w:r>
        <w:rPr>
          <w:rFonts w:ascii="Times New Roman" w:hAnsi="Times New Roman"/>
        </w:rPr>
        <w:t>采油厂对该工程的竣工日期和调试起止日期进行了网上公示</w:t>
      </w:r>
      <w:r>
        <w:fldChar w:fldCharType="begin"/>
      </w:r>
      <w:r>
        <w:instrText xml:space="preserve"> HYPERLINK "file:///I:\\孤东项目\\孤东第二次公示\\（" </w:instrText>
      </w:r>
      <w:r>
        <w:fldChar w:fldCharType="separate"/>
      </w:r>
      <w:r>
        <w:rPr>
          <w:rStyle w:val="11"/>
          <w:rFonts w:ascii="Times New Roman" w:hAnsi="Times New Roman"/>
        </w:rPr>
        <w:t>（</w:t>
      </w:r>
      <w:r>
        <w:rPr>
          <w:rStyle w:val="11"/>
          <w:rFonts w:ascii="Times New Roman" w:hAnsi="Times New Roman"/>
        </w:rPr>
        <w:fldChar w:fldCharType="end"/>
      </w:r>
      <w:r>
        <w:fldChar w:fldCharType="begin"/>
      </w:r>
      <w:r>
        <w:instrText xml:space="preserve"> HYPERLINK "http://slof.sinopec.com/slof/csr/hjbh/20191127/news_20191127_321589750101.shtml" </w:instrText>
      </w:r>
      <w:r>
        <w:fldChar w:fldCharType="separate"/>
      </w:r>
      <w:r>
        <w:rPr>
          <w:rFonts w:ascii="Times New Roman" w:hAnsi="Times New Roman" w:eastAsiaTheme="minorEastAsia"/>
        </w:rPr>
        <w:t xml:space="preserve"> </w:t>
      </w:r>
      <w:r>
        <w:rPr>
          <w:rStyle w:val="11"/>
          <w:rFonts w:ascii="Times New Roman" w:hAnsi="Times New Roman" w:eastAsiaTheme="minorEastAsia"/>
        </w:rPr>
        <w:t>http://10.2.133.176/sites/slof</w:t>
      </w:r>
      <w:r>
        <w:rPr>
          <w:rStyle w:val="11"/>
          <w:rFonts w:ascii="Times New Roman" w:hAnsi="Times New Roman" w:eastAsiaTheme="minorEastAsia"/>
        </w:rPr>
        <w:fldChar w:fldCharType="end"/>
      </w:r>
      <w:r>
        <w:fldChar w:fldCharType="begin"/>
      </w:r>
      <w:r>
        <w:instrText xml:space="preserve"> HYPERLINK "http://slof.sinopec.com/slof/" \h </w:instrText>
      </w:r>
      <w:r>
        <w:fldChar w:fldCharType="separate"/>
      </w:r>
      <w:r>
        <w:rPr>
          <w:rFonts w:ascii="Times New Roman" w:hAnsi="Times New Roman"/>
        </w:rPr>
        <w:t>）</w:t>
      </w:r>
      <w:r>
        <w:rPr>
          <w:rFonts w:ascii="Times New Roman" w:hAnsi="Times New Roman"/>
        </w:rPr>
        <w:fldChar w:fldCharType="end"/>
      </w:r>
      <w:r>
        <w:rPr>
          <w:rFonts w:ascii="Times New Roman" w:hAnsi="Times New Roman"/>
        </w:rPr>
        <w:t xml:space="preserve">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公众参与渠道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根据本项目特点和实际建设情况，</w:t>
      </w:r>
      <w:r>
        <w:rPr>
          <w:rFonts w:hint="eastAsia" w:ascii="Times New Roman" w:hAnsi="Times New Roman" w:cs="Times New Roman"/>
          <w:lang w:val="en-US" w:eastAsia="zh-CN"/>
        </w:rPr>
        <w:t>现河</w:t>
      </w:r>
      <w:r>
        <w:rPr>
          <w:rFonts w:ascii="Times New Roman" w:hAnsi="Times New Roman" w:cs="Times New Roman"/>
        </w:rPr>
        <w:t xml:space="preserve">采油厂采用电话和网站回复的方式收集公众 意见和建议。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公众意见处理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现河</w:t>
      </w:r>
      <w:r>
        <w:rPr>
          <w:rFonts w:ascii="Times New Roman" w:hAnsi="Times New Roman" w:cs="Times New Roman"/>
        </w:rPr>
        <w:t>采油厂承诺会严格记录公众反馈意见或投诉、收到时间、渠道以及反馈或投诉 的内容，并及时处理或解决公众意见，给出采纳与否的情况说明。</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本项目建设工程、验收调查期间未收到公众意见或投诉，表明公众支持该项目的建设和运营。 </w:t>
      </w:r>
    </w:p>
    <w:p>
      <w:pPr>
        <w:pStyle w:val="4"/>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其他环境措施的落实情况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制度措施落实情况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3.1. 1  </w:t>
      </w:r>
      <w:r>
        <w:rPr>
          <w:rFonts w:ascii="Times New Roman" w:hAnsi="Times New Roman" w:cs="Times New Roman"/>
        </w:rPr>
        <w:t xml:space="preserve">环保组织机构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现河</w:t>
      </w:r>
      <w:r>
        <w:rPr>
          <w:rFonts w:ascii="Times New Roman" w:hAnsi="Times New Roman" w:cs="Times New Roman"/>
        </w:rPr>
        <w:t>采油厂QHS</w:t>
      </w:r>
      <w:r>
        <w:rPr>
          <w:rFonts w:hint="eastAsia" w:ascii="Times New Roman" w:hAnsi="Times New Roman" w:cs="Times New Roman"/>
          <w:lang w:val="en-US" w:eastAsia="zh-CN"/>
        </w:rPr>
        <w:t>S</w:t>
      </w:r>
      <w:r>
        <w:rPr>
          <w:rFonts w:ascii="Times New Roman" w:hAnsi="Times New Roman" w:cs="Times New Roman"/>
        </w:rPr>
        <w:t>E管理</w:t>
      </w:r>
      <w:r>
        <w:rPr>
          <w:rFonts w:hint="eastAsia" w:ascii="Times New Roman" w:hAnsi="Times New Roman" w:cs="Times New Roman"/>
          <w:lang w:val="en-US" w:eastAsia="zh-CN"/>
        </w:rPr>
        <w:t>部</w:t>
      </w:r>
      <w:r>
        <w:rPr>
          <w:rFonts w:ascii="Times New Roman" w:hAnsi="Times New Roman" w:cs="Times New Roman"/>
        </w:rPr>
        <w:t xml:space="preserve">负责全公司环保专业技术综合管理，机关各业务部门按各自环保管理职责负责分管业务范围内的环保管理。采油厂所属各单位、直属单位按采油厂环保管理实施细则负责本单位环保管理。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在生产运营期，由</w:t>
      </w:r>
      <w:r>
        <w:rPr>
          <w:rFonts w:hint="eastAsia" w:ascii="Times New Roman" w:hAnsi="Times New Roman" w:cs="Times New Roman"/>
          <w:lang w:eastAsia="zh-CN"/>
        </w:rPr>
        <w:t>现河</w:t>
      </w:r>
      <w:r>
        <w:rPr>
          <w:rFonts w:ascii="Times New Roman" w:hAnsi="Times New Roman" w:cs="Times New Roman"/>
        </w:rPr>
        <w:t>采油厂QHS</w:t>
      </w:r>
      <w:r>
        <w:rPr>
          <w:rFonts w:hint="eastAsia" w:ascii="Times New Roman" w:hAnsi="Times New Roman" w:cs="Times New Roman"/>
          <w:lang w:val="en-US" w:eastAsia="zh-CN"/>
        </w:rPr>
        <w:t>S</w:t>
      </w:r>
      <w:r>
        <w:rPr>
          <w:rFonts w:ascii="Times New Roman" w:hAnsi="Times New Roman" w:cs="Times New Roman"/>
        </w:rPr>
        <w:t>E管理</w:t>
      </w:r>
      <w:r>
        <w:rPr>
          <w:rFonts w:hint="eastAsia" w:ascii="Times New Roman" w:hAnsi="Times New Roman" w:cs="Times New Roman"/>
          <w:lang w:val="en-US" w:eastAsia="zh-CN"/>
        </w:rPr>
        <w:t>部</w:t>
      </w:r>
      <w:r>
        <w:rPr>
          <w:rFonts w:ascii="Times New Roman" w:hAnsi="Times New Roman" w:cs="Times New Roman"/>
        </w:rPr>
        <w:t xml:space="preserve">统一负责本项目的环保管理工作，在井区内设置专职环保员，负责环保文件和技术资料的归档，协助进行环保工程的验收，负责运营期间的环境监测、事故防范和外部协调工作。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3.1.2 </w:t>
      </w:r>
      <w:r>
        <w:rPr>
          <w:rFonts w:ascii="Times New Roman" w:hAnsi="Times New Roman" w:cs="Times New Roman"/>
        </w:rPr>
        <w:t xml:space="preserve">环境风险防范措施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项目的风险事故主要是，单井集油管线破损造成的原油泄漏，钻井过程中井喷以及采油套外返水等，对环境空气、地表水、地下水和土壤产生影响。通过采取：加强日常生产监督管理和安全运行检查工作，制定安全生产操作规程，加强职工安全意识教育和安全生产技术培训。一旦发现事故应及时采取相应的补救措施，尽量减少影响和损失；对于作业过程中产生的各类废物及时进行妥善处置和处理，不得长期在环境中堆存，避免对景观环境、土壤和水体造成影响；对各类设备、阀门定期进行检查，防止跑、冒、滴、漏，及时巡检等措施，消除事故隐患。</w:t>
      </w:r>
      <w:r>
        <w:rPr>
          <w:rFonts w:hint="eastAsia" w:ascii="Times New Roman" w:hAnsi="Times New Roman" w:cs="Times New Roman"/>
          <w:lang w:eastAsia="zh-CN"/>
        </w:rPr>
        <w:t>现河</w:t>
      </w:r>
      <w:r>
        <w:rPr>
          <w:rFonts w:ascii="Times New Roman" w:hAnsi="Times New Roman" w:cs="Times New Roman"/>
        </w:rPr>
        <w:t>采油厂制定了《</w:t>
      </w:r>
      <w:r>
        <w:rPr>
          <w:rFonts w:hint="eastAsia" w:ascii="Times New Roman" w:hAnsi="Times New Roman" w:cs="Times New Roman"/>
          <w:lang w:eastAsia="zh-CN"/>
        </w:rPr>
        <w:t>现河</w:t>
      </w:r>
      <w:r>
        <w:rPr>
          <w:rFonts w:ascii="Times New Roman" w:hAnsi="Times New Roman" w:cs="Times New Roman"/>
        </w:rPr>
        <w:t>采油厂突发</w:t>
      </w:r>
      <w:r>
        <w:rPr>
          <w:rFonts w:hint="eastAsia" w:ascii="Times New Roman" w:hAnsi="Times New Roman" w:cs="Times New Roman"/>
          <w:lang w:val="en-US" w:eastAsia="zh-CN"/>
        </w:rPr>
        <w:t>环境</w:t>
      </w:r>
      <w:r>
        <w:rPr>
          <w:rFonts w:ascii="Times New Roman" w:hAnsi="Times New Roman" w:cs="Times New Roman"/>
        </w:rPr>
        <w:t xml:space="preserve">事件应急预案》，根据应急预案内容定期进行演练。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3.1.3 </w:t>
      </w:r>
      <w:r>
        <w:rPr>
          <w:rFonts w:ascii="Times New Roman" w:hAnsi="Times New Roman" w:cs="Times New Roman"/>
        </w:rPr>
        <w:t xml:space="preserve">采取的清洁生产措施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在钻井、作业等多方面均采取了大量的清洁生产工艺装备，减少了资源、能源的消耗，削减了废弃物的产生量。按照清洁生产各项指标评定，结果说明多数指标可以达到二级以上水平，符合国家清洁生产的要求。</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环境保护措施落实情况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3.2.1  </w:t>
      </w:r>
      <w:r>
        <w:rPr>
          <w:rFonts w:ascii="Times New Roman" w:hAnsi="Times New Roman" w:cs="Times New Roman"/>
        </w:rPr>
        <w:t xml:space="preserve">生态环境保护措施落实情况  </w:t>
      </w:r>
    </w:p>
    <w:p>
      <w:pPr>
        <w:spacing w:after="0" w:line="360" w:lineRule="auto"/>
        <w:ind w:left="0" w:firstLine="480" w:firstLineChars="200"/>
        <w:jc w:val="both"/>
        <w:rPr>
          <w:rFonts w:ascii="Times New Roman" w:hAnsi="Times New Roman" w:cs="Times New Roman"/>
          <w:szCs w:val="24"/>
        </w:rPr>
      </w:pPr>
      <w:r>
        <w:rPr>
          <w:rFonts w:ascii="Times New Roman" w:hAnsi="Times New Roman" w:cs="Times New Roman"/>
          <w:szCs w:val="24"/>
        </w:rPr>
        <w:t xml:space="preserve">本项目施工期主要的生态环境影响，是施工清场对地表植被破坏、土壤的扰乱以及土地的占用。施工过程中加强施工管理，严格控制施工占用土地及施工作业带面积， 提高工程施工效率，减少工程在时间与空间上的累积与拥挤效应。凡受到施工车辆、机械破坏的地方都已及时修整，恢复原貌，被破坏的植被现均已恢复。妥善处理处置施工期间产生的各类污染物，防止其对生态环境造成污染影响。采取以上措施，本项目对生 态影响较小。运营期对生态环境影响主要是修井过程中可能对周围植被、土壤产生影响，运营 期影响主要集中在井场内，很少大规模形成污染。建设单位在运营期加强修井过程的管理，文明作业，提高修井效率，减少修井次数，在采取以上环保措施后，运营期不会对井场周围生态环境造成显著影响。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3.2.2  </w:t>
      </w:r>
      <w:r>
        <w:rPr>
          <w:rFonts w:ascii="Times New Roman" w:hAnsi="Times New Roman" w:cs="Times New Roman"/>
        </w:rPr>
        <w:t xml:space="preserve">大气环境保护措施落实情况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废气主要有井场建设、管线敷设、运输车辆行驶产生的扬尘和施工车辆与机械废气产生。调查发现，项目施工现场均在野外空旷地带，有利于空气扩散，且建设单位在施工期采取了洒水抑尘等必要的大气污染防治措施，项目施工期对大气环境的影响较小。本项目运营期排放的废气主要为油气集输过程挥发的无组织轻烃。验收期间对井场非甲烷总烃无组织排放情况进行了监测，经监测，本项目井场厂界非甲烷总烃浓度为</w:t>
      </w:r>
      <w:r>
        <w:rPr>
          <w:rFonts w:hint="eastAsia" w:ascii="Times New Roman" w:hAnsi="Times New Roman" w:cs="Times New Roman"/>
        </w:rPr>
        <w:t>1.</w:t>
      </w:r>
      <w:r>
        <w:rPr>
          <w:rFonts w:hint="eastAsia" w:ascii="Times New Roman" w:hAnsi="Times New Roman" w:cs="Times New Roman"/>
          <w:lang w:val="en-US" w:eastAsia="zh-CN"/>
        </w:rPr>
        <w:t>81</w:t>
      </w:r>
      <w:r>
        <w:rPr>
          <w:rFonts w:ascii="Times New Roman" w:hAnsi="Times New Roman" w:cs="Times New Roman"/>
        </w:rPr>
        <w:t>mg/m</w:t>
      </w:r>
      <w:r>
        <w:rPr>
          <w:rFonts w:ascii="Times New Roman" w:hAnsi="Times New Roman" w:cs="Times New Roman"/>
          <w:vertAlign w:val="superscript"/>
        </w:rPr>
        <w:t>3</w:t>
      </w:r>
      <w:r>
        <w:rPr>
          <w:rFonts w:ascii="Times New Roman" w:hAnsi="Times New Roman" w:cs="Times New Roman"/>
        </w:rPr>
        <w:t>，满足《挥发性有机物排放标准 第 7 部分：其他行业》（DB37/2801.7-2019）中挥发性有机物场界监控点浓度限值（2.0mg/m</w:t>
      </w:r>
      <w:r>
        <w:rPr>
          <w:rFonts w:ascii="Times New Roman" w:hAnsi="Times New Roman" w:cs="Times New Roman"/>
          <w:vertAlign w:val="superscript"/>
        </w:rPr>
        <w:t>3</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 xml:space="preserve">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3.2.3 </w:t>
      </w:r>
      <w:r>
        <w:rPr>
          <w:rFonts w:ascii="Times New Roman" w:hAnsi="Times New Roman" w:cs="Times New Roman"/>
        </w:rPr>
        <w:t xml:space="preserve">水环境保护措施落实情况  </w:t>
      </w:r>
    </w:p>
    <w:p>
      <w:pPr>
        <w:spacing w:after="0" w:line="360" w:lineRule="auto"/>
        <w:ind w:left="0" w:firstLine="480" w:firstLineChars="200"/>
        <w:jc w:val="both"/>
        <w:rPr>
          <w:rFonts w:hint="eastAsia" w:ascii="Times New Roman" w:hAnsi="Times New Roman" w:eastAsia="宋体" w:cs="Times New Roman"/>
          <w:lang w:val="en-US" w:eastAsia="zh-CN"/>
        </w:rPr>
      </w:pPr>
      <w:r>
        <w:rPr>
          <w:rFonts w:ascii="Times New Roman" w:hAnsi="Times New Roman" w:cs="Times New Roman"/>
        </w:rPr>
        <w:t>施工期水污染物主要包括钻井废水、施工作业废</w:t>
      </w:r>
      <w:r>
        <w:rPr>
          <w:rFonts w:hint="eastAsia" w:ascii="Times New Roman" w:hAnsi="Times New Roman" w:cs="Times New Roman"/>
          <w:lang w:val="en-US" w:eastAsia="zh-CN"/>
        </w:rPr>
        <w:t>液</w:t>
      </w:r>
      <w:r>
        <w:rPr>
          <w:rFonts w:ascii="Times New Roman" w:hAnsi="Times New Roman" w:cs="Times New Roman"/>
        </w:rPr>
        <w:t>、</w:t>
      </w:r>
      <w:r>
        <w:rPr>
          <w:rFonts w:hint="eastAsia" w:ascii="Times New Roman" w:hAnsi="Times New Roman" w:cs="Times New Roman"/>
          <w:lang w:val="en-US" w:eastAsia="zh-CN"/>
        </w:rPr>
        <w:t>酸化压裂废液、</w:t>
      </w:r>
      <w:r>
        <w:rPr>
          <w:rFonts w:ascii="Times New Roman" w:hAnsi="Times New Roman" w:cs="Times New Roman"/>
        </w:rPr>
        <w:t>管道试压废水和少量的生活污水。钻井废水</w:t>
      </w:r>
      <w:r>
        <w:t>由罐车外运至</w:t>
      </w:r>
      <w:r>
        <w:rPr>
          <w:rFonts w:hint="eastAsia"/>
        </w:rPr>
        <w:t>王岗</w:t>
      </w:r>
      <w:r>
        <w:t>废液处理站进行预处理，再进入</w:t>
      </w:r>
      <w:r>
        <w:rPr>
          <w:rFonts w:hint="eastAsia"/>
        </w:rPr>
        <w:t>王岗</w:t>
      </w:r>
      <w:r>
        <w:t>联合</w:t>
      </w:r>
      <w:r>
        <w:rPr>
          <w:spacing w:val="-3"/>
        </w:rPr>
        <w:t>站内</w:t>
      </w:r>
      <w:r>
        <w:t>污水处理系统处理，达标后回注地层，用于油田注水开发，不外排。因此，钻井废水对周围水环境影响很小。</w:t>
      </w:r>
      <w:r>
        <w:rPr>
          <w:rFonts w:hint="eastAsia" w:ascii="Times New Roman" w:hAnsi="Times New Roman" w:cs="Times New Roman"/>
          <w:lang w:val="en-US" w:eastAsia="zh-CN"/>
        </w:rPr>
        <w:t>施工作业废液</w:t>
      </w:r>
      <w:r>
        <w:t>依托</w:t>
      </w:r>
      <w:r>
        <w:rPr>
          <w:rFonts w:hint="eastAsia"/>
        </w:rPr>
        <w:t>史南、郝现、王岗</w:t>
      </w:r>
      <w:r>
        <w:t>联合站</w:t>
      </w:r>
      <w:r>
        <w:rPr>
          <w:rFonts w:hint="eastAsia"/>
        </w:rPr>
        <w:t>、现河首战</w:t>
      </w:r>
      <w:r>
        <w:t>进行预处理，再进入</w:t>
      </w:r>
      <w:r>
        <w:rPr>
          <w:spacing w:val="-3"/>
        </w:rPr>
        <w:t>站内</w:t>
      </w:r>
      <w:r>
        <w:t>污水处理系统处理，达标后回注地层，用于油田注水开发，不外排</w:t>
      </w:r>
      <w:r>
        <w:rPr>
          <w:rFonts w:cs="Times New Roman"/>
        </w:rPr>
        <w:t>。</w:t>
      </w:r>
      <w:r>
        <w:t>酸化</w:t>
      </w:r>
      <w:r>
        <w:rPr>
          <w:rFonts w:hint="eastAsia"/>
          <w:lang w:val="en-US" w:eastAsia="zh-CN"/>
        </w:rPr>
        <w:t>压裂</w:t>
      </w:r>
      <w:r>
        <w:t>废液由罐车外运至</w:t>
      </w:r>
      <w:r>
        <w:rPr>
          <w:rFonts w:hint="eastAsia"/>
        </w:rPr>
        <w:t>王岗</w:t>
      </w:r>
      <w:r>
        <w:t>废液处理站进行预处理，再进入</w:t>
      </w:r>
      <w:r>
        <w:rPr>
          <w:rFonts w:hint="eastAsia"/>
        </w:rPr>
        <w:t>王岗</w:t>
      </w:r>
      <w:r>
        <w:t>联合</w:t>
      </w:r>
      <w:r>
        <w:rPr>
          <w:spacing w:val="-3"/>
        </w:rPr>
        <w:t>站内</w:t>
      </w:r>
      <w:r>
        <w:t>污水处理系统处理，达标后回注地层，用于油田注水开发，不外排。</w:t>
      </w:r>
      <w:r>
        <w:rPr>
          <w:rFonts w:ascii="Times New Roman" w:hAnsi="Times New Roman" w:cs="Times New Roman"/>
        </w:rPr>
        <w:t>试压废水</w:t>
      </w:r>
      <w:r>
        <w:rPr>
          <w:rFonts w:hint="eastAsia"/>
          <w:szCs w:val="24"/>
        </w:rPr>
        <w:t>采用沉淀处理，</w:t>
      </w:r>
      <w:r>
        <w:rPr>
          <w:szCs w:val="24"/>
        </w:rPr>
        <w:t>处理达标后</w:t>
      </w:r>
      <w:r>
        <w:rPr>
          <w:rFonts w:hint="eastAsia"/>
          <w:szCs w:val="24"/>
        </w:rPr>
        <w:t>就近排放</w:t>
      </w:r>
      <w:r>
        <w:t>。</w:t>
      </w:r>
      <w:r>
        <w:rPr>
          <w:rFonts w:ascii="Times New Roman" w:hAnsi="Times New Roman" w:cs="Times New Roman"/>
        </w:rPr>
        <w:t>生活污水排入旱厕，定期清掏用做农肥。因此，生活污水对周围水环境影响很小。</w:t>
      </w:r>
      <w:r>
        <w:rPr>
          <w:rFonts w:hint="eastAsia" w:ascii="Times New Roman" w:hAnsi="Times New Roman" w:cs="Times New Roman"/>
          <w:lang w:val="en-US" w:eastAsia="zh-CN"/>
        </w:rPr>
        <w:t>·</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本项目运行期产生的废水主要包括作业废液和采出水。运营期井下作业废液和采出水依托</w:t>
      </w:r>
      <w:r>
        <w:rPr>
          <w:rFonts w:hint="eastAsia"/>
        </w:rPr>
        <w:t>史南、郝现、王岗</w:t>
      </w:r>
      <w:r>
        <w:t>联合站</w:t>
      </w:r>
      <w:r>
        <w:rPr>
          <w:rFonts w:hint="eastAsia"/>
        </w:rPr>
        <w:t>、现河首战</w:t>
      </w:r>
      <w:r>
        <w:rPr>
          <w:rFonts w:ascii="Times New Roman" w:hAnsi="Times New Roman" w:cs="Times New Roman"/>
        </w:rPr>
        <w:t>处理。作业废液和采油污水处理达标后，用于油田注水开发，无外排。经调查，</w:t>
      </w:r>
      <w:r>
        <w:rPr>
          <w:rFonts w:hint="eastAsia"/>
        </w:rPr>
        <w:t>史南、郝现、王岗</w:t>
      </w:r>
      <w:r>
        <w:t>联合站</w:t>
      </w:r>
      <w:r>
        <w:rPr>
          <w:rFonts w:hint="eastAsia"/>
        </w:rPr>
        <w:t>、现河首战</w:t>
      </w:r>
      <w:r>
        <w:rPr>
          <w:rFonts w:ascii="Times New Roman" w:hAnsi="Times New Roman" w:cs="Times New Roman"/>
        </w:rPr>
        <w:t>能够满足本项目废水处理需求。因此本项目运营期对水环境的影响较小。</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3.2.4 </w:t>
      </w:r>
      <w:r>
        <w:rPr>
          <w:rFonts w:ascii="Times New Roman" w:hAnsi="Times New Roman" w:cs="Times New Roman"/>
        </w:rPr>
        <w:t xml:space="preserve">声环境保护措施落实情况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施工期噪声主要来自施工机械及运输车辆。施工过程中尽量使用低噪声设备，机械设备间歇性运行，噪声影响是暂时的，施工结束后，施工噪声随即消失。项目周边无噪声敏感目标。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本项目加强对抽油机的维护、减少作业次数等措施，降低运营期井场噪声。项目运行期间未接到居民针对噪声方面的投诉。经监测，</w:t>
      </w:r>
      <w:r>
        <w:rPr>
          <w:rFonts w:hint="eastAsia"/>
          <w:lang w:val="en-US" w:eastAsia="zh-CN"/>
        </w:rPr>
        <w:t>王661-斜20（斜21、斜22）</w:t>
      </w:r>
      <w:r>
        <w:t>井场</w:t>
      </w:r>
      <w:r>
        <w:rPr>
          <w:rFonts w:ascii="Times New Roman" w:hAnsi="Times New Roman" w:cs="Times New Roman"/>
        </w:rPr>
        <w:t>昼间</w:t>
      </w:r>
      <w:r>
        <w:rPr>
          <w:rFonts w:hint="eastAsia" w:ascii="Times New Roman" w:hAnsi="Times New Roman" w:cs="Times New Roman"/>
          <w:lang w:val="en-US" w:eastAsia="zh-CN"/>
        </w:rPr>
        <w:t>51.0</w:t>
      </w:r>
      <w:r>
        <w:rPr>
          <w:rFonts w:ascii="Times New Roman" w:hAnsi="Times New Roman" w:cs="Times New Roman"/>
        </w:rPr>
        <w:t>dB(A)，夜间</w:t>
      </w:r>
      <w:r>
        <w:rPr>
          <w:rFonts w:hint="eastAsia" w:ascii="Times New Roman" w:hAnsi="Times New Roman" w:cs="Times New Roman"/>
          <w:lang w:val="en-US" w:eastAsia="zh-CN"/>
        </w:rPr>
        <w:t>49.0</w:t>
      </w:r>
      <w:r>
        <w:rPr>
          <w:rFonts w:ascii="Times New Roman" w:hAnsi="Times New Roman" w:cs="Times New Roman"/>
        </w:rPr>
        <w:t xml:space="preserve">dB（A），厂界噪声符合《工业企业厂界环境噪声排放标准》（GB12348-2008）中 2 类区厂界环境噪声要求。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3.2.5 </w:t>
      </w:r>
      <w:r>
        <w:rPr>
          <w:rFonts w:ascii="Times New Roman" w:hAnsi="Times New Roman" w:cs="Times New Roman"/>
        </w:rPr>
        <w:t xml:space="preserve">固废环境和保护措施落实情况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本项目固体废物主要为钻井固废、施工废料和生活垃圾。项目钻井完毕后的废弃泥浆、钻井岩屑</w:t>
      </w:r>
      <w:r>
        <w:rPr>
          <w:rFonts w:hint="eastAsia" w:ascii="Times New Roman" w:hAnsi="Times New Roman" w:cs="Times New Roman"/>
        </w:rPr>
        <w:t>采用“泥浆不落地”工艺（即：随钻随治工艺）进行处理。将钻井产生的泥浆和岩屑排入泥浆贮存罐，用泵输送至泥浆调节罐，在泥浆调节罐中进行固液分离，分离出的固体进入压滤机压成泥饼，钻井固废全部委托</w:t>
      </w:r>
      <w:r>
        <w:rPr>
          <w:rFonts w:hint="eastAsia" w:ascii="Times New Roman" w:hAnsi="Times New Roman" w:cs="Times New Roman"/>
          <w:lang w:val="en-US" w:eastAsia="zh-CN"/>
        </w:rPr>
        <w:t>胜利油田东兴石油工程有限责任公司</w:t>
      </w:r>
      <w:r>
        <w:rPr>
          <w:rFonts w:hint="eastAsia" w:cs="Times New Roman" w:eastAsiaTheme="minorEastAsia"/>
          <w:bCs/>
        </w:rPr>
        <w:t>进行</w:t>
      </w:r>
      <w:r>
        <w:rPr>
          <w:rFonts w:hint="eastAsia" w:ascii="Times New Roman" w:hAnsi="Times New Roman" w:cs="Times New Roman"/>
        </w:rPr>
        <w:t>综合利用</w:t>
      </w:r>
      <w:r>
        <w:rPr>
          <w:rFonts w:ascii="Times New Roman" w:hAnsi="Times New Roman" w:cs="Times New Roman"/>
        </w:rPr>
        <w:t xml:space="preserve">。施工废料部分回收利用，部分拉运至环卫部门指定地点，由环卫部门统一处理。生活垃圾贮存在施工现场的垃圾桶内，拉运至环卫部门指定地点，由环卫部门统一处理。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本工程运行期间产生的固体废物主要有油泥砂。油泥砂运至</w:t>
      </w:r>
      <w:r>
        <w:rPr>
          <w:rFonts w:hint="eastAsia" w:ascii="Times New Roman" w:hAnsi="Times New Roman" w:cs="Times New Roman"/>
          <w:lang w:val="en-US" w:eastAsia="zh-CN"/>
        </w:rPr>
        <w:t>郝现、王岗</w:t>
      </w:r>
      <w:r>
        <w:rPr>
          <w:rFonts w:ascii="Times New Roman" w:hAnsi="Times New Roman" w:cs="Times New Roman"/>
        </w:rPr>
        <w:t xml:space="preserve">联合站油泥砂贮存场集中贮存，最终委托东营华新环保技术有限公司进行无害化处置。经调查，东营华新环保技术有限公司满足本项目油泥砂的处置需求。 </w:t>
      </w:r>
    </w:p>
    <w:p>
      <w:pPr>
        <w:pStyle w:val="5"/>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配套措施落实情况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3.3.1 </w:t>
      </w:r>
      <w:r>
        <w:rPr>
          <w:rFonts w:ascii="Times New Roman" w:hAnsi="Times New Roman" w:cs="Times New Roman"/>
        </w:rPr>
        <w:t xml:space="preserve">区域消减及淘汰落后产能 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3.3.2 </w:t>
      </w:r>
      <w:r>
        <w:rPr>
          <w:rFonts w:ascii="Times New Roman" w:hAnsi="Times New Roman" w:cs="Times New Roman"/>
        </w:rPr>
        <w:t xml:space="preserve">防护距离控制及居民搬迁 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3.3.3 </w:t>
      </w:r>
      <w:r>
        <w:rPr>
          <w:rFonts w:ascii="Times New Roman" w:hAnsi="Times New Roman" w:cs="Times New Roman"/>
        </w:rPr>
        <w:t xml:space="preserve">其他措施 本项目不涉及区域环境整治、相关外围工程建设等措施。  </w:t>
      </w:r>
    </w:p>
    <w:p>
      <w:pPr>
        <w:spacing w:after="0" w:line="360" w:lineRule="auto"/>
        <w:ind w:left="0" w:firstLine="643" w:firstLineChars="200"/>
        <w:jc w:val="both"/>
        <w:rPr>
          <w:rFonts w:ascii="Times New Roman" w:hAnsi="Times New Roman" w:cs="Times New Roman"/>
          <w:sz w:val="32"/>
        </w:rPr>
      </w:pPr>
      <w:r>
        <w:rPr>
          <w:rFonts w:ascii="Times New Roman" w:hAnsi="Times New Roman" w:cs="Times New Roman"/>
          <w:b/>
          <w:sz w:val="32"/>
        </w:rPr>
        <w:t xml:space="preserve">4 </w:t>
      </w:r>
      <w:r>
        <w:rPr>
          <w:rFonts w:ascii="Times New Roman" w:hAnsi="Times New Roman" w:cs="Times New Roman"/>
          <w:sz w:val="32"/>
        </w:rPr>
        <w:t>整改工作情况</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本项目不需要整改。 </w:t>
      </w:r>
    </w:p>
    <w:sectPr>
      <w:footerReference r:id="rId5" w:type="first"/>
      <w:footerReference r:id="rId3" w:type="default"/>
      <w:footerReference r:id="rId4" w:type="even"/>
      <w:pgSz w:w="11906" w:h="16841"/>
      <w:pgMar w:top="1114" w:right="1443" w:bottom="1476" w:left="1440" w:header="720" w:footer="1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9FD"/>
    <w:multiLevelType w:val="multilevel"/>
    <w:tmpl w:val="738209FD"/>
    <w:lvl w:ilvl="0" w:tentative="0">
      <w:start w:val="1"/>
      <w:numFmt w:val="decimal"/>
      <w:pStyle w:val="4"/>
      <w:lvlText w:val="%1"/>
      <w:lvlJc w:val="left"/>
      <w:pPr>
        <w:ind w:left="0"/>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decimal"/>
      <w:pStyle w:val="5"/>
      <w:lvlText w:val="%1.%2"/>
      <w:lvlJc w:val="left"/>
      <w:pPr>
        <w:ind w:left="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8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0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2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95"/>
    <w:rsid w:val="00015DBC"/>
    <w:rsid w:val="00031520"/>
    <w:rsid w:val="000E6D2B"/>
    <w:rsid w:val="001431BD"/>
    <w:rsid w:val="00170E77"/>
    <w:rsid w:val="001829BE"/>
    <w:rsid w:val="001A1C08"/>
    <w:rsid w:val="00241D2F"/>
    <w:rsid w:val="00290809"/>
    <w:rsid w:val="00371149"/>
    <w:rsid w:val="003806DB"/>
    <w:rsid w:val="004054BB"/>
    <w:rsid w:val="004975A6"/>
    <w:rsid w:val="005859ED"/>
    <w:rsid w:val="00604AA7"/>
    <w:rsid w:val="006638E1"/>
    <w:rsid w:val="00751B8B"/>
    <w:rsid w:val="0076246F"/>
    <w:rsid w:val="007C7C9D"/>
    <w:rsid w:val="0081748E"/>
    <w:rsid w:val="0088545F"/>
    <w:rsid w:val="008F0BE6"/>
    <w:rsid w:val="00912D3C"/>
    <w:rsid w:val="0098673C"/>
    <w:rsid w:val="00994F31"/>
    <w:rsid w:val="00A1190F"/>
    <w:rsid w:val="00A607E4"/>
    <w:rsid w:val="00B31EB6"/>
    <w:rsid w:val="00BD57EC"/>
    <w:rsid w:val="00CC404B"/>
    <w:rsid w:val="00D32115"/>
    <w:rsid w:val="00E90317"/>
    <w:rsid w:val="00F82695"/>
    <w:rsid w:val="0F4F77D0"/>
    <w:rsid w:val="1BBF0DEB"/>
    <w:rsid w:val="67A4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57" w:line="321" w:lineRule="auto"/>
      <w:ind w:left="118" w:firstLine="472"/>
    </w:pPr>
    <w:rPr>
      <w:rFonts w:ascii="宋体" w:hAnsi="宋体" w:eastAsia="宋体" w:cs="宋体"/>
      <w:color w:val="000000"/>
      <w:kern w:val="2"/>
      <w:sz w:val="24"/>
      <w:szCs w:val="22"/>
      <w:lang w:val="en-US" w:eastAsia="zh-CN" w:bidi="ar-SA"/>
    </w:rPr>
  </w:style>
  <w:style w:type="paragraph" w:styleId="4">
    <w:name w:val="heading 1"/>
    <w:next w:val="1"/>
    <w:link w:val="13"/>
    <w:qFormat/>
    <w:uiPriority w:val="9"/>
    <w:pPr>
      <w:keepNext/>
      <w:keepLines/>
      <w:numPr>
        <w:ilvl w:val="0"/>
        <w:numId w:val="1"/>
      </w:numPr>
      <w:spacing w:after="77" w:line="259" w:lineRule="auto"/>
      <w:ind w:left="610" w:hanging="10"/>
      <w:outlineLvl w:val="0"/>
    </w:pPr>
    <w:rPr>
      <w:rFonts w:ascii="宋体" w:hAnsi="宋体" w:eastAsia="宋体" w:cs="宋体"/>
      <w:color w:val="000000"/>
      <w:kern w:val="2"/>
      <w:sz w:val="32"/>
      <w:szCs w:val="22"/>
      <w:lang w:val="en-US" w:eastAsia="zh-CN" w:bidi="ar-SA"/>
    </w:rPr>
  </w:style>
  <w:style w:type="paragraph" w:styleId="5">
    <w:name w:val="heading 2"/>
    <w:next w:val="1"/>
    <w:link w:val="12"/>
    <w:unhideWhenUsed/>
    <w:qFormat/>
    <w:uiPriority w:val="9"/>
    <w:pPr>
      <w:keepNext/>
      <w:keepLines/>
      <w:numPr>
        <w:ilvl w:val="1"/>
        <w:numId w:val="1"/>
      </w:numPr>
      <w:spacing w:after="53" w:line="259" w:lineRule="auto"/>
      <w:ind w:left="689" w:hanging="10"/>
      <w:outlineLvl w:val="1"/>
    </w:pPr>
    <w:rPr>
      <w:rFonts w:ascii="宋体" w:hAnsi="宋体" w:eastAsia="宋体" w:cs="宋体"/>
      <w:color w:val="000000"/>
      <w:kern w:val="2"/>
      <w:sz w:val="28"/>
      <w:szCs w:val="22"/>
      <w:lang w:val="en-US" w:eastAsia="zh-CN" w:bidi="ar-SA"/>
    </w:rPr>
  </w:style>
  <w:style w:type="paragraph" w:styleId="6">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pPr>
    <w:rPr>
      <w:rFonts w:ascii="Calibri" w:hAnsi="Calibri"/>
      <w:sz w:val="21"/>
    </w:rPr>
  </w:style>
  <w:style w:type="paragraph" w:styleId="3">
    <w:name w:val="Body Text Indent"/>
    <w:basedOn w:val="1"/>
    <w:qFormat/>
    <w:uiPriority w:val="0"/>
    <w:pPr>
      <w:spacing w:after="120"/>
      <w:ind w:left="420" w:leftChars="200"/>
    </w:pPr>
  </w:style>
  <w:style w:type="paragraph" w:styleId="7">
    <w:name w:val="Balloon Text"/>
    <w:basedOn w:val="1"/>
    <w:link w:val="15"/>
    <w:semiHidden/>
    <w:unhideWhenUsed/>
    <w:qFormat/>
    <w:uiPriority w:val="99"/>
    <w:pPr>
      <w:spacing w:after="0" w:line="240" w:lineRule="auto"/>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11">
    <w:name w:val="Hyperlink"/>
    <w:qFormat/>
    <w:uiPriority w:val="99"/>
    <w:rPr>
      <w:color w:val="454545"/>
      <w:u w:val="none"/>
    </w:rPr>
  </w:style>
  <w:style w:type="character" w:customStyle="1" w:styleId="12">
    <w:name w:val="标题 2 字符"/>
    <w:link w:val="5"/>
    <w:qFormat/>
    <w:uiPriority w:val="0"/>
    <w:rPr>
      <w:rFonts w:ascii="宋体" w:hAnsi="宋体" w:eastAsia="宋体" w:cs="宋体"/>
      <w:color w:val="000000"/>
      <w:sz w:val="28"/>
    </w:rPr>
  </w:style>
  <w:style w:type="character" w:customStyle="1" w:styleId="13">
    <w:name w:val="标题 1 字符"/>
    <w:link w:val="4"/>
    <w:qFormat/>
    <w:uiPriority w:val="0"/>
    <w:rPr>
      <w:rFonts w:ascii="宋体" w:hAnsi="宋体" w:eastAsia="宋体" w:cs="宋体"/>
      <w:color w:val="000000"/>
      <w:sz w:val="32"/>
    </w:rPr>
  </w:style>
  <w:style w:type="character" w:customStyle="1" w:styleId="14">
    <w:name w:val="页眉 字符"/>
    <w:basedOn w:val="10"/>
    <w:link w:val="8"/>
    <w:qFormat/>
    <w:uiPriority w:val="99"/>
    <w:rPr>
      <w:rFonts w:ascii="宋体" w:hAnsi="宋体" w:eastAsia="宋体" w:cs="宋体"/>
      <w:color w:val="000000"/>
      <w:sz w:val="18"/>
      <w:szCs w:val="18"/>
    </w:rPr>
  </w:style>
  <w:style w:type="character" w:customStyle="1" w:styleId="15">
    <w:name w:val="批注框文本 字符"/>
    <w:basedOn w:val="10"/>
    <w:link w:val="7"/>
    <w:semiHidden/>
    <w:qFormat/>
    <w:uiPriority w:val="99"/>
    <w:rPr>
      <w:rFonts w:ascii="宋体" w:hAnsi="宋体" w:eastAsia="宋体" w:cs="宋体"/>
      <w:color w:val="000000"/>
      <w:sz w:val="18"/>
      <w:szCs w:val="18"/>
    </w:rPr>
  </w:style>
  <w:style w:type="paragraph" w:styleId="16">
    <w:name w:val="List Paragraph"/>
    <w:basedOn w:val="1"/>
    <w:qFormat/>
    <w:uiPriority w:val="34"/>
    <w:pPr>
      <w:ind w:firstLine="420" w:firstLineChars="200"/>
    </w:pPr>
  </w:style>
  <w:style w:type="paragraph" w:customStyle="1" w:styleId="17">
    <w:name w:val="lm正文"/>
    <w:basedOn w:val="1"/>
    <w:link w:val="18"/>
    <w:qFormat/>
    <w:uiPriority w:val="0"/>
    <w:pPr>
      <w:widowControl w:val="0"/>
      <w:adjustRightInd w:val="0"/>
      <w:snapToGrid w:val="0"/>
      <w:spacing w:after="0" w:line="331" w:lineRule="auto"/>
      <w:ind w:left="0" w:firstLine="480" w:firstLineChars="200"/>
      <w:jc w:val="both"/>
    </w:pPr>
    <w:rPr>
      <w:rFonts w:cs="Times New Roman"/>
      <w:color w:val="auto"/>
      <w:kern w:val="0"/>
      <w:szCs w:val="20"/>
      <w:lang w:val="zh-CN"/>
    </w:rPr>
  </w:style>
  <w:style w:type="character" w:customStyle="1" w:styleId="18">
    <w:name w:val="lm正文 Char"/>
    <w:link w:val="17"/>
    <w:qFormat/>
    <w:uiPriority w:val="0"/>
    <w:rPr>
      <w:rFonts w:ascii="宋体" w:hAnsi="宋体" w:eastAsia="宋体" w:cs="Times New Roman"/>
      <w:kern w:val="0"/>
      <w:sz w:val="24"/>
      <w:szCs w:val="20"/>
      <w:lang w:val="zh-CN"/>
    </w:rPr>
  </w:style>
  <w:style w:type="character" w:customStyle="1" w:styleId="19">
    <w:name w:val="标题 3 字符"/>
    <w:basedOn w:val="10"/>
    <w:link w:val="6"/>
    <w:qFormat/>
    <w:uiPriority w:val="0"/>
    <w:rPr>
      <w:rFonts w:ascii="宋体" w:hAnsi="宋体" w:eastAsia="宋体" w:cs="宋体"/>
      <w:b/>
      <w:bCs/>
      <w:color w:val="000000"/>
      <w:sz w:val="32"/>
      <w:szCs w:val="32"/>
    </w:rPr>
  </w:style>
  <w:style w:type="character" w:customStyle="1" w:styleId="20">
    <w:name w:val="Unresolved Mention"/>
    <w:basedOn w:val="10"/>
    <w:semiHidden/>
    <w:unhideWhenUsed/>
    <w:qFormat/>
    <w:uiPriority w:val="99"/>
    <w:rPr>
      <w:color w:val="605E5C"/>
      <w:shd w:val="clear" w:color="auto" w:fill="E1DFDD"/>
    </w:rPr>
  </w:style>
  <w:style w:type="paragraph" w:customStyle="1" w:styleId="21">
    <w:name w:val="正文格式"/>
    <w:basedOn w:val="1"/>
    <w:qFormat/>
    <w:uiPriority w:val="0"/>
    <w:pPr>
      <w:ind w:firstLine="482"/>
    </w:pPr>
    <w:rPr>
      <w:rFonts w:ascii="宋体" w:hAnsi="宋体"/>
      <w:szCs w:val="2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oter" Target="footer1.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fontTable" Target="fontTable.xml"/><Relationship Id="rId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1E15DF28-7E8B-4EFB-9635-FCEB8F9035A6}"/>
</file>

<file path=customXml/itemProps3.xml><?xml version="1.0" encoding="utf-8"?>
<ds:datastoreItem xmlns:ds="http://schemas.openxmlformats.org/officeDocument/2006/customXml" ds:itemID="{2F2DF2EC-0C70-4483-85D6-C64FA9F6C750}"/>
</file>

<file path=customXml/itemProps4.xml><?xml version="1.0" encoding="utf-8"?>
<ds:datastoreItem xmlns:ds="http://schemas.openxmlformats.org/officeDocument/2006/customXml" ds:itemID="{C1EF071E-9D63-46F1-A095-A7E2682DF1D7}"/>
</file>

<file path=docProps/app.xml><?xml version="1.0" encoding="utf-8"?>
<Properties xmlns="http://schemas.openxmlformats.org/officeDocument/2006/extended-properties" xmlns:vt="http://schemas.openxmlformats.org/officeDocument/2006/docPropsVTypes">
  <Template>Normal</Template>
  <Pages>5</Pages>
  <Words>571</Words>
  <Characters>3258</Characters>
  <Lines>27</Lines>
  <Paragraphs>7</Paragraphs>
  <TotalTime>2</TotalTime>
  <ScaleCrop>false</ScaleCrop>
  <LinksUpToDate>false</LinksUpToDate>
  <CharactersWithSpaces>3822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p:lastModifiedBy>
  <cp:revision>2</cp:revision>
  <cp:lastPrinted>2019-12-31T01:59:00Z</cp:lastPrinted>
  <dcterms:created xsi:type="dcterms:W3CDTF">2020-03-25T08:22:00Z</dcterms:created>
  <dcterms:modified xsi:type="dcterms:W3CDTF">2020-06-09T06:22:52Z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0x010100313989E510CC474A862876A387D6F14A</vt:lpwstr>
  </property>
</Properties>
</file>