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w:t>
      </w:r>
      <w:r>
        <w:rPr>
          <w:rFonts w:hint="eastAsia" w:ascii="Times New Roman" w:hAnsi="Times New Roman" w:eastAsia="宋体"/>
          <w:b/>
          <w:bCs/>
          <w:sz w:val="32"/>
          <w:szCs w:val="32"/>
        </w:rPr>
        <w:t>环境保护设施设计、施工和验收过程简况</w:t>
      </w:r>
    </w:p>
    <w:p>
      <w:pPr>
        <w:spacing w:after="0" w:line="360" w:lineRule="auto"/>
        <w:ind w:firstLine="482"/>
        <w:jc w:val="both"/>
        <w:rPr>
          <w:rFonts w:ascii="Times New Roman" w:hAnsi="Times New Roman" w:eastAsia="宋体"/>
          <w:sz w:val="28"/>
          <w:szCs w:val="28"/>
        </w:rPr>
      </w:pPr>
      <w:r>
        <w:rPr>
          <w:rFonts w:ascii="Times New Roman" w:hAnsi="Times New Roman" w:eastAsia="宋体"/>
          <w:b/>
          <w:bCs/>
          <w:sz w:val="28"/>
          <w:szCs w:val="28"/>
        </w:rPr>
        <w:t>1.1</w:t>
      </w:r>
      <w:r>
        <w:rPr>
          <w:rFonts w:hint="eastAsia" w:ascii="Times New Roman" w:hAnsi="Times New Roman" w:eastAsia="宋体"/>
          <w:b/>
          <w:bCs/>
          <w:sz w:val="28"/>
          <w:szCs w:val="28"/>
        </w:rPr>
        <w:t>设计、施工简况</w:t>
      </w:r>
    </w:p>
    <w:p>
      <w:pPr>
        <w:pStyle w:val="15"/>
        <w:adjustRightInd w:val="0"/>
        <w:snapToGrid w:val="0"/>
        <w:ind w:firstLine="482" w:firstLineChars="0"/>
        <w:jc w:val="both"/>
        <w:rPr>
          <w:sz w:val="24"/>
          <w:szCs w:val="24"/>
        </w:rPr>
      </w:pPr>
      <w:r>
        <w:rPr>
          <w:rFonts w:hint="eastAsia"/>
          <w:sz w:val="24"/>
          <w:szCs w:val="24"/>
        </w:rPr>
        <w:t>（1）污水处理依托设施</w:t>
      </w:r>
    </w:p>
    <w:p>
      <w:pPr>
        <w:spacing w:after="0" w:line="360" w:lineRule="auto"/>
        <w:ind w:firstLine="480" w:firstLineChars="200"/>
        <w:rPr>
          <w:rFonts w:ascii="宋体" w:hAnsi="宋体" w:eastAsia="宋体"/>
          <w:sz w:val="24"/>
          <w:szCs w:val="24"/>
        </w:rPr>
      </w:pPr>
      <w:r>
        <w:rPr>
          <w:rFonts w:ascii="宋体" w:hAnsi="宋体" w:eastAsia="宋体"/>
          <w:sz w:val="24"/>
          <w:szCs w:val="24"/>
        </w:rPr>
        <w:t>项目废水主要为含油污水</w:t>
      </w:r>
      <w:r>
        <w:rPr>
          <w:rFonts w:hint="eastAsia" w:ascii="宋体" w:hAnsi="宋体" w:eastAsia="宋体"/>
          <w:sz w:val="24"/>
          <w:szCs w:val="24"/>
        </w:rPr>
        <w:t>、</w:t>
      </w:r>
      <w:r>
        <w:rPr>
          <w:rFonts w:ascii="宋体" w:hAnsi="宋体" w:eastAsia="宋体"/>
          <w:sz w:val="24"/>
          <w:szCs w:val="24"/>
        </w:rPr>
        <w:t>生活污水</w:t>
      </w:r>
      <w:r>
        <w:rPr>
          <w:rFonts w:hint="eastAsia" w:ascii="宋体" w:hAnsi="宋体" w:eastAsia="宋体"/>
          <w:sz w:val="24"/>
          <w:szCs w:val="24"/>
        </w:rPr>
        <w:t>。含油污水经</w:t>
      </w:r>
      <w:r>
        <w:rPr>
          <w:rFonts w:ascii="宋体" w:hAnsi="宋体" w:eastAsia="宋体"/>
          <w:sz w:val="24"/>
          <w:szCs w:val="24"/>
        </w:rPr>
        <w:t>污水处理系统处理，达到《碎屑岩油藏注水水质指标及分析方法》（SY/T5329-2012）标准后回注地层</w:t>
      </w:r>
      <w:r>
        <w:rPr>
          <w:rFonts w:hint="eastAsia" w:ascii="宋体" w:hAnsi="宋体" w:eastAsia="宋体"/>
          <w:sz w:val="24"/>
          <w:szCs w:val="24"/>
        </w:rPr>
        <w:t>，</w:t>
      </w:r>
      <w:r>
        <w:rPr>
          <w:rFonts w:ascii="宋体" w:hAnsi="宋体" w:eastAsia="宋体"/>
          <w:sz w:val="24"/>
          <w:szCs w:val="24"/>
        </w:rPr>
        <w:t>不外排。生活污水进入旱厕，最终由环</w:t>
      </w:r>
      <w:r>
        <w:rPr>
          <w:rFonts w:hint="eastAsia" w:ascii="宋体" w:hAnsi="宋体" w:eastAsia="宋体"/>
          <w:sz w:val="24"/>
          <w:szCs w:val="24"/>
        </w:rPr>
        <w:t>卫</w:t>
      </w:r>
      <w:r>
        <w:rPr>
          <w:rFonts w:ascii="宋体" w:hAnsi="宋体" w:eastAsia="宋体"/>
          <w:sz w:val="24"/>
          <w:szCs w:val="24"/>
        </w:rPr>
        <w:t>部门回收利用。经调查，验收期间产生的废水得到了有效处理，不外排，对地表和地下水环境影响较小。</w:t>
      </w:r>
    </w:p>
    <w:p>
      <w:pPr>
        <w:pStyle w:val="15"/>
        <w:widowControl w:val="0"/>
        <w:adjustRightInd w:val="0"/>
        <w:snapToGrid w:val="0"/>
        <w:ind w:firstLine="482" w:firstLineChars="0"/>
        <w:jc w:val="both"/>
        <w:rPr>
          <w:sz w:val="24"/>
          <w:szCs w:val="24"/>
        </w:rPr>
      </w:pPr>
      <w:r>
        <w:rPr>
          <w:rFonts w:hint="eastAsia"/>
          <w:sz w:val="24"/>
          <w:szCs w:val="24"/>
        </w:rPr>
        <w:t>（2）固体废物处理依托设施</w:t>
      </w:r>
    </w:p>
    <w:p>
      <w:pPr>
        <w:pStyle w:val="19"/>
        <w:snapToGrid w:val="0"/>
        <w:spacing w:line="360" w:lineRule="auto"/>
        <w:ind w:firstLine="480"/>
        <w:jc w:val="both"/>
        <w:rPr>
          <w:rFonts w:ascii="Times New Roman" w:eastAsia="宋体"/>
          <w:sz w:val="24"/>
          <w:szCs w:val="24"/>
        </w:rPr>
      </w:pPr>
      <w:r>
        <w:rPr>
          <w:rFonts w:ascii="Times New Roman" w:eastAsia="宋体"/>
          <w:sz w:val="24"/>
          <w:szCs w:val="24"/>
        </w:rPr>
        <w:t>站内固废的主要来源为污水处理流程中的污水沉降罐等设备排出的含油污泥，含油污泥暂存于临盘采油厂油泥砂贮存场，最终委托胜利油田金岛实业有限责任公司进行无害化处置。本项目不新增劳动定员，站内人员生活垃圾收集后由环卫部门统一清运。</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1.2</w:t>
      </w:r>
      <w:r>
        <w:rPr>
          <w:rFonts w:hint="eastAsia" w:ascii="Times New Roman" w:hAnsi="Times New Roman" w:eastAsia="宋体"/>
          <w:b/>
          <w:bCs/>
          <w:sz w:val="28"/>
          <w:szCs w:val="28"/>
        </w:rPr>
        <w:t>验收过程简况</w:t>
      </w:r>
    </w:p>
    <w:p>
      <w:pPr>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本项目验收过程见表</w:t>
      </w:r>
      <w:r>
        <w:rPr>
          <w:rStyle w:val="18"/>
        </w:rPr>
        <w:t>1</w:t>
      </w:r>
      <w:r>
        <w:rPr>
          <w:rFonts w:hint="eastAsia" w:ascii="宋体" w:hAnsi="宋体" w:eastAsia="宋体" w:cs="宋体"/>
          <w:color w:val="000000"/>
          <w:sz w:val="24"/>
          <w:szCs w:val="24"/>
        </w:rPr>
        <w:t>。</w:t>
      </w:r>
    </w:p>
    <w:p>
      <w:pPr>
        <w:pStyle w:val="13"/>
        <w:adjustRightInd w:val="0"/>
        <w:snapToGrid w:val="0"/>
        <w:spacing w:before="156" w:line="360" w:lineRule="auto"/>
        <w:rPr>
          <w:kern w:val="0"/>
        </w:rPr>
      </w:pPr>
      <w:r>
        <w:rPr>
          <w:rFonts w:hint="eastAsia"/>
          <w:kern w:val="0"/>
        </w:rPr>
        <w:t>表1  竣工环境保护验收过程一览表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254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项目名称</w:t>
            </w: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程序流程</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restart"/>
            <w:tcBorders>
              <w:top w:val="single" w:color="auto" w:sz="4" w:space="0"/>
              <w:left w:val="single" w:color="auto" w:sz="4" w:space="0"/>
              <w:bottom w:val="single" w:color="auto" w:sz="4" w:space="0"/>
              <w:right w:val="single" w:color="auto" w:sz="4" w:space="0"/>
            </w:tcBorders>
            <w:vAlign w:val="center"/>
          </w:tcPr>
          <w:p>
            <w:pPr>
              <w:pStyle w:val="9"/>
            </w:pPr>
            <w:r>
              <w:rPr>
                <w:rFonts w:hint="eastAsia"/>
              </w:rPr>
              <w:t>临中污水站扩建工程竣工环境保护验收调查报告表</w:t>
            </w: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竣工时间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2019年1月1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委托时间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rPr>
                <w:rFonts w:hint="default" w:eastAsia="宋体"/>
                <w:lang w:val="en-US" w:eastAsia="zh-CN"/>
              </w:rPr>
            </w:pPr>
            <w:r>
              <w:rPr>
                <w:rFonts w:hint="eastAsia"/>
              </w:rPr>
              <w:t>2019年2月</w:t>
            </w:r>
            <w:r>
              <w:rPr>
                <w:rFonts w:hint="eastAsia"/>
                <w:lang w:val="en-US" w:eastAsia="zh-CN"/>
              </w:rPr>
              <w:t>21日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现场踏勘、调查时间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2019年2月14-15日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检测时间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2019年2月25-28日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自主验收时间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2019年7月17日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竣工公示时间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2019年</w:t>
            </w:r>
            <w:r>
              <w:rPr>
                <w:rFonts w:hint="eastAsia"/>
                <w:lang w:val="en-US" w:eastAsia="zh-CN"/>
              </w:rPr>
              <w:t>1</w:t>
            </w:r>
            <w:r>
              <w:rPr>
                <w:rFonts w:hint="eastAsia"/>
              </w:rPr>
              <w:t>月</w:t>
            </w:r>
            <w:r>
              <w:rPr>
                <w:rFonts w:hint="eastAsia"/>
                <w:lang w:val="en-US" w:eastAsia="zh-CN"/>
              </w:rPr>
              <w:t>15</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报告公示时间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2019年8月9日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信息平台公示时间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2019年9月12日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kern w:val="2"/>
                <w:sz w:val="21"/>
                <w:szCs w:val="21"/>
              </w:rPr>
            </w:pPr>
          </w:p>
        </w:tc>
        <w:tc>
          <w:tcPr>
            <w:tcW w:w="1494" w:type="pct"/>
            <w:tcBorders>
              <w:top w:val="single" w:color="auto" w:sz="4" w:space="0"/>
              <w:left w:val="single" w:color="auto" w:sz="4" w:space="0"/>
              <w:bottom w:val="single" w:color="auto" w:sz="4" w:space="0"/>
              <w:right w:val="single" w:color="auto" w:sz="4" w:space="0"/>
            </w:tcBorders>
          </w:tcPr>
          <w:p>
            <w:pPr>
              <w:pStyle w:val="9"/>
              <w:ind w:firstLine="480"/>
            </w:pPr>
            <w:r>
              <w:rPr>
                <w:rFonts w:hint="eastAsia"/>
              </w:rPr>
              <w:t>批复文件时间</w:t>
            </w:r>
          </w:p>
        </w:tc>
        <w:tc>
          <w:tcPr>
            <w:tcW w:w="2068" w:type="pct"/>
            <w:tcBorders>
              <w:top w:val="single" w:color="auto" w:sz="4" w:space="0"/>
              <w:left w:val="single" w:color="auto" w:sz="4" w:space="0"/>
              <w:bottom w:val="single" w:color="auto" w:sz="4" w:space="0"/>
              <w:right w:val="single" w:color="auto" w:sz="4" w:space="0"/>
            </w:tcBorders>
            <w:vAlign w:val="center"/>
          </w:tcPr>
          <w:p>
            <w:pPr>
              <w:pStyle w:val="9"/>
              <w:ind w:firstLine="480"/>
            </w:pPr>
            <w:r>
              <w:rPr>
                <w:rFonts w:hint="eastAsia"/>
              </w:rPr>
              <w:t>2017年8月16日</w:t>
            </w:r>
          </w:p>
        </w:tc>
      </w:tr>
    </w:tbl>
    <w:p>
      <w:pPr>
        <w:spacing w:after="0" w:line="360" w:lineRule="auto"/>
        <w:ind w:firstLine="482"/>
        <w:jc w:val="both"/>
        <w:rPr>
          <w:rFonts w:ascii="Times New Roman" w:hAnsi="Times New Roman" w:eastAsia="宋体"/>
          <w:b/>
          <w:bCs/>
          <w:sz w:val="21"/>
          <w:szCs w:val="21"/>
          <w:highlight w:val="yellow"/>
        </w:rPr>
      </w:pPr>
    </w:p>
    <w:p>
      <w:pPr>
        <w:adjustRightInd/>
        <w:snapToGrid/>
        <w:spacing w:before="260" w:after="260" w:line="412" w:lineRule="auto"/>
        <w:jc w:val="both"/>
        <w:rPr>
          <w:rFonts w:ascii="Times New Roman" w:hAnsi="Times New Roman" w:eastAsia="宋体"/>
          <w:b/>
          <w:bCs/>
          <w:sz w:val="32"/>
          <w:szCs w:val="32"/>
        </w:rPr>
      </w:pPr>
      <w:r>
        <w:rPr>
          <w:rFonts w:ascii="Times New Roman" w:hAnsi="Times New Roman" w:eastAsia="宋体"/>
          <w:b/>
          <w:bCs/>
          <w:sz w:val="32"/>
          <w:szCs w:val="32"/>
        </w:rPr>
        <w:br w:type="page"/>
      </w: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w:t>
      </w:r>
      <w:r>
        <w:rPr>
          <w:rFonts w:hint="eastAsia" w:ascii="Times New Roman" w:hAnsi="Times New Roman" w:eastAsia="宋体"/>
          <w:b/>
          <w:bCs/>
          <w:sz w:val="32"/>
          <w:szCs w:val="32"/>
        </w:rPr>
        <w:t>其他环境保护措施的落实情况</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2.1</w:t>
      </w:r>
      <w:r>
        <w:rPr>
          <w:rFonts w:hint="eastAsia" w:ascii="Times New Roman" w:hAnsi="Times New Roman" w:eastAsia="宋体"/>
          <w:b/>
          <w:bCs/>
          <w:sz w:val="28"/>
          <w:szCs w:val="28"/>
        </w:rPr>
        <w:t>制度措施落实情况</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 xml:space="preserve">2.1.1 </w:t>
      </w:r>
      <w:r>
        <w:rPr>
          <w:rFonts w:hint="eastAsia" w:ascii="Times New Roman" w:hAnsi="Times New Roman" w:eastAsia="宋体"/>
          <w:b/>
          <w:bCs/>
          <w:sz w:val="24"/>
          <w:szCs w:val="24"/>
        </w:rPr>
        <w:t>环保组织机构</w:t>
      </w:r>
    </w:p>
    <w:p>
      <w:pPr>
        <w:spacing w:after="0" w:line="360" w:lineRule="auto"/>
        <w:ind w:firstLine="482"/>
        <w:rPr>
          <w:rFonts w:ascii="宋体" w:hAnsi="宋体" w:eastAsiaTheme="minorEastAsia"/>
          <w:sz w:val="24"/>
          <w:szCs w:val="24"/>
        </w:rPr>
      </w:pPr>
      <w:r>
        <w:rPr>
          <w:rFonts w:ascii="宋体" w:hAnsi="宋体" w:eastAsiaTheme="minorEastAsia"/>
          <w:sz w:val="24"/>
          <w:szCs w:val="24"/>
        </w:rPr>
        <w:t>建设单位QHSE管理科负责项目的环保专业技术综合管理，机关各业务部门按各自环保管理职责负责分管业务范围内的环保管理。</w:t>
      </w:r>
    </w:p>
    <w:p>
      <w:pPr>
        <w:spacing w:after="0" w:line="360" w:lineRule="auto"/>
        <w:ind w:firstLine="482"/>
        <w:rPr>
          <w:rFonts w:ascii="宋体" w:hAnsi="宋体" w:eastAsiaTheme="minorEastAsia"/>
          <w:sz w:val="24"/>
          <w:szCs w:val="24"/>
        </w:rPr>
      </w:pPr>
      <w:r>
        <w:rPr>
          <w:rFonts w:ascii="宋体" w:hAnsi="宋体" w:eastAsiaTheme="minorEastAsia"/>
          <w:sz w:val="24"/>
          <w:szCs w:val="24"/>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pPr>
        <w:spacing w:after="0" w:line="360" w:lineRule="auto"/>
        <w:ind w:firstLine="480" w:firstLineChars="200"/>
        <w:rPr>
          <w:rFonts w:ascii="宋体" w:hAnsi="宋体" w:eastAsiaTheme="minorEastAsia"/>
          <w:sz w:val="24"/>
          <w:szCs w:val="24"/>
        </w:rPr>
      </w:pPr>
      <w:r>
        <w:rPr>
          <w:rFonts w:ascii="宋体" w:hAnsi="宋体" w:eastAsiaTheme="minorEastAsia"/>
          <w:sz w:val="24"/>
          <w:szCs w:val="24"/>
        </w:rPr>
        <w:t>在生产运营期，由建设单位QHSE管理科统一负责本项目的环保管理工作，临中污</w:t>
      </w:r>
      <w:r>
        <w:rPr>
          <w:rFonts w:hint="eastAsia" w:ascii="宋体" w:hAnsi="宋体" w:eastAsiaTheme="minorEastAsia"/>
          <w:sz w:val="24"/>
          <w:szCs w:val="24"/>
        </w:rPr>
        <w:t>水站</w:t>
      </w:r>
      <w:r>
        <w:rPr>
          <w:rFonts w:ascii="宋体" w:hAnsi="宋体" w:eastAsiaTheme="minorEastAsia"/>
          <w:sz w:val="24"/>
          <w:szCs w:val="24"/>
        </w:rPr>
        <w:t>设置专职环保员，负责环保文件和技术资料的归档，协助进行环保工程的验收，负责运营期间的环境监测、事故防范和外部协调工作。</w:t>
      </w:r>
      <w:bookmarkStart w:id="0" w:name="_Toc123093586"/>
      <w:bookmarkStart w:id="1" w:name="_Toc123031028"/>
      <w:bookmarkStart w:id="2" w:name="_Toc280253810"/>
    </w:p>
    <w:bookmarkEnd w:id="0"/>
    <w:bookmarkEnd w:id="1"/>
    <w:bookmarkEnd w:id="2"/>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 xml:space="preserve">2.1.2 </w:t>
      </w:r>
      <w:r>
        <w:rPr>
          <w:rFonts w:hint="eastAsia" w:ascii="Times New Roman" w:hAnsi="Times New Roman" w:eastAsia="宋体"/>
          <w:b/>
          <w:bCs/>
          <w:sz w:val="24"/>
          <w:szCs w:val="24"/>
        </w:rPr>
        <w:t>环境风险防范措施</w:t>
      </w:r>
    </w:p>
    <w:p>
      <w:pPr>
        <w:spacing w:after="0" w:line="360" w:lineRule="auto"/>
        <w:ind w:firstLine="482"/>
        <w:rPr>
          <w:rFonts w:ascii="宋体" w:hAnsi="宋体" w:eastAsiaTheme="minorEastAsia"/>
          <w:sz w:val="24"/>
          <w:szCs w:val="24"/>
        </w:rPr>
      </w:pPr>
      <w:r>
        <w:rPr>
          <w:rFonts w:ascii="宋体" w:hAnsi="宋体" w:eastAsiaTheme="minorEastAsia"/>
          <w:sz w:val="24"/>
          <w:szCs w:val="24"/>
        </w:rPr>
        <w:t>为规范采油厂应急管理工作，提高对突发事件的反应速度、应对能力、整体协调水平，临盘采油厂制定了《临盘采油厂突发事件应急预案》，并在胜利油田分公司安全环保处备案，在总体应急预案中明确了采油厂应急组织机构</w:t>
      </w:r>
      <w:r>
        <w:rPr>
          <w:rFonts w:hint="eastAsia" w:ascii="宋体" w:hAnsi="宋体" w:eastAsiaTheme="minorEastAsia"/>
          <w:sz w:val="24"/>
          <w:szCs w:val="24"/>
        </w:rPr>
        <w:t>。</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2.1.3</w:t>
      </w:r>
      <w:r>
        <w:rPr>
          <w:rFonts w:hint="eastAsia" w:ascii="Times New Roman" w:hAnsi="Times New Roman" w:eastAsia="宋体"/>
          <w:b/>
          <w:bCs/>
          <w:sz w:val="24"/>
          <w:szCs w:val="24"/>
        </w:rPr>
        <w:t>关于“环评批复中提出的其他要求”落实情况</w:t>
      </w:r>
    </w:p>
    <w:p>
      <w:pPr>
        <w:pStyle w:val="11"/>
        <w:spacing w:line="360" w:lineRule="auto"/>
      </w:pPr>
      <w:r>
        <w:rPr>
          <w:rFonts w:hint="eastAsia"/>
        </w:rPr>
        <w:t>该项目环评批复未提出其他要求。</w:t>
      </w: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3</w:t>
      </w:r>
      <w:r>
        <w:rPr>
          <w:rFonts w:hint="eastAsia" w:ascii="Times New Roman" w:hAnsi="Times New Roman" w:eastAsia="宋体"/>
          <w:b/>
          <w:bCs/>
          <w:sz w:val="32"/>
          <w:szCs w:val="32"/>
        </w:rPr>
        <w:t>整改工作情况</w:t>
      </w:r>
    </w:p>
    <w:p>
      <w:pPr>
        <w:pStyle w:val="11"/>
        <w:spacing w:line="360" w:lineRule="auto"/>
      </w:pPr>
      <w:r>
        <w:rPr>
          <w:rFonts w:hint="eastAsia"/>
        </w:rPr>
        <w:t>本项目的整改内容为</w:t>
      </w:r>
      <w:r>
        <w:rPr>
          <w:rFonts w:hint="eastAsia"/>
          <w:szCs w:val="30"/>
        </w:rPr>
        <w:t>建设项目竣工环境保护验收意见</w:t>
      </w:r>
      <w:r>
        <w:rPr>
          <w:rFonts w:hint="eastAsia"/>
        </w:rPr>
        <w:t>整改情况，具体如下</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3.1</w:t>
      </w:r>
      <w:r>
        <w:rPr>
          <w:rFonts w:hint="eastAsia" w:ascii="Times New Roman" w:hAnsi="Times New Roman" w:eastAsia="宋体"/>
          <w:b/>
          <w:bCs/>
          <w:sz w:val="28"/>
          <w:szCs w:val="28"/>
        </w:rPr>
        <w:t>报告表中提出的原有工程整改情况</w:t>
      </w:r>
    </w:p>
    <w:p>
      <w:pPr>
        <w:pStyle w:val="11"/>
        <w:spacing w:line="360" w:lineRule="auto"/>
      </w:pPr>
      <w:r>
        <w:rPr>
          <w:rFonts w:hint="eastAsia"/>
        </w:rPr>
        <w:t>本项目不涉及原有工程整改。</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3.2</w:t>
      </w:r>
      <w:r>
        <w:rPr>
          <w:rFonts w:hint="eastAsia" w:ascii="Times New Roman" w:hAnsi="Times New Roman" w:eastAsia="宋体"/>
          <w:b/>
          <w:bCs/>
          <w:sz w:val="28"/>
          <w:szCs w:val="28"/>
        </w:rPr>
        <w:t>建设项目竣工环境保护验收意见整改情况</w:t>
      </w:r>
    </w:p>
    <w:p>
      <w:pPr>
        <w:pStyle w:val="11"/>
        <w:spacing w:line="360" w:lineRule="auto"/>
      </w:pPr>
      <w:r>
        <w:rPr>
          <w:rFonts w:hint="eastAsia"/>
        </w:rPr>
        <w:t>根据本项目验收报告表的意见，采油厂采取以下措施</w:t>
      </w:r>
    </w:p>
    <w:p>
      <w:pPr>
        <w:spacing w:after="0" w:line="360" w:lineRule="auto"/>
        <w:ind w:firstLine="480" w:firstLineChars="200"/>
        <w:rPr>
          <w:rFonts w:ascii="宋体" w:hAnsi="宋体" w:eastAsia="宋体"/>
          <w:sz w:val="24"/>
          <w:szCs w:val="30"/>
        </w:rPr>
      </w:pPr>
      <w:r>
        <w:rPr>
          <w:rFonts w:ascii="宋体" w:hAnsi="宋体" w:eastAsia="宋体"/>
          <w:sz w:val="24"/>
          <w:szCs w:val="30"/>
        </w:rPr>
        <w:t>（1）落实现有各项污染防治措施，切实做到责任到人，确保项目环境污染物排放达标，切实做到污染物均能实现稳定达标排放。</w:t>
      </w:r>
    </w:p>
    <w:p>
      <w:pPr>
        <w:tabs>
          <w:tab w:val="left" w:pos="870"/>
          <w:tab w:val="left" w:pos="1020"/>
        </w:tabs>
        <w:spacing w:after="0" w:line="360" w:lineRule="auto"/>
        <w:ind w:firstLine="480" w:firstLineChars="200"/>
        <w:rPr>
          <w:rFonts w:ascii="宋体" w:hAnsi="宋体" w:eastAsia="宋体"/>
          <w:sz w:val="24"/>
          <w:szCs w:val="30"/>
        </w:rPr>
      </w:pPr>
      <w:r>
        <w:rPr>
          <w:rFonts w:ascii="宋体" w:hAnsi="宋体" w:eastAsia="宋体"/>
          <w:sz w:val="24"/>
          <w:szCs w:val="30"/>
        </w:rPr>
        <w:t>（2）加强环境管理，使污染物尽量消除在源头。加强职工对环境保护工作重要性的认识，将环境管理纳入生产管理轨道上，最大限度地减少资源的浪费和对环境的污染。</w:t>
      </w:r>
    </w:p>
    <w:p>
      <w:pPr>
        <w:pStyle w:val="9"/>
        <w:ind w:firstLine="480" w:firstLineChars="200"/>
        <w:jc w:val="left"/>
        <w:rPr>
          <w:snapToGrid w:val="0"/>
        </w:rPr>
      </w:pPr>
      <w:r>
        <w:rPr>
          <w:kern w:val="0"/>
          <w:sz w:val="24"/>
          <w:szCs w:val="30"/>
        </w:rPr>
        <w:t>（3）加强厂区绿化，美化环境，降低污染</w:t>
      </w:r>
      <w:r>
        <w:rPr>
          <w:color w:val="000000" w:themeColor="text1"/>
          <w:sz w:val="24"/>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09"/>
    <w:rsid w:val="000D7B96"/>
    <w:rsid w:val="001357E1"/>
    <w:rsid w:val="004708A8"/>
    <w:rsid w:val="00725609"/>
    <w:rsid w:val="0079461D"/>
    <w:rsid w:val="00C305EA"/>
    <w:rsid w:val="00C4567F"/>
    <w:rsid w:val="00D317A6"/>
    <w:rsid w:val="00DF7442"/>
    <w:rsid w:val="2AAA0B30"/>
    <w:rsid w:val="4100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style>
  <w:style w:type="paragraph" w:styleId="3">
    <w:name w:val="footer"/>
    <w:basedOn w:val="1"/>
    <w:link w:val="23"/>
    <w:unhideWhenUsed/>
    <w:qFormat/>
    <w:uiPriority w:val="99"/>
    <w:pPr>
      <w:tabs>
        <w:tab w:val="center" w:pos="4153"/>
        <w:tab w:val="right" w:pos="8306"/>
      </w:tabs>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5">
    <w:name w:val="annotation subject"/>
    <w:basedOn w:val="2"/>
    <w:next w:val="2"/>
    <w:link w:val="21"/>
    <w:semiHidden/>
    <w:qFormat/>
    <w:uiPriority w:val="0"/>
    <w:pPr>
      <w:widowControl w:val="0"/>
      <w:adjustRightInd/>
      <w:snapToGrid/>
      <w:spacing w:after="0"/>
    </w:pPr>
    <w:rPr>
      <w:rFonts w:ascii="Times New Roman" w:hAnsi="Times New Roman" w:eastAsia="宋体"/>
      <w:b/>
      <w:bCs/>
      <w:kern w:val="2"/>
      <w:sz w:val="21"/>
      <w:szCs w:val="24"/>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m表格内文字"/>
    <w:basedOn w:val="1"/>
    <w:qFormat/>
    <w:uiPriority w:val="0"/>
    <w:pPr>
      <w:widowControl w:val="0"/>
      <w:adjustRightInd/>
      <w:snapToGrid/>
      <w:spacing w:after="0"/>
      <w:jc w:val="center"/>
    </w:pPr>
    <w:rPr>
      <w:rFonts w:ascii="宋体" w:hAnsi="宋体" w:eastAsia="宋体"/>
      <w:kern w:val="2"/>
      <w:sz w:val="21"/>
      <w:szCs w:val="21"/>
    </w:rPr>
  </w:style>
  <w:style w:type="character" w:customStyle="1" w:styleId="10">
    <w:name w:val="lm正文 Char"/>
    <w:link w:val="11"/>
    <w:qFormat/>
    <w:locked/>
    <w:uiPriority w:val="0"/>
    <w:rPr>
      <w:rFonts w:ascii="宋体" w:hAnsi="宋体" w:eastAsia="宋体" w:cs="Times New Roman"/>
      <w:kern w:val="0"/>
      <w:sz w:val="24"/>
      <w:szCs w:val="24"/>
    </w:rPr>
  </w:style>
  <w:style w:type="paragraph" w:customStyle="1" w:styleId="11">
    <w:name w:val="lm正文"/>
    <w:basedOn w:val="1"/>
    <w:link w:val="10"/>
    <w:qFormat/>
    <w:uiPriority w:val="0"/>
    <w:pPr>
      <w:widowControl w:val="0"/>
      <w:spacing w:after="0" w:line="328" w:lineRule="auto"/>
      <w:ind w:firstLine="480" w:firstLineChars="200"/>
      <w:jc w:val="both"/>
    </w:pPr>
    <w:rPr>
      <w:rFonts w:ascii="宋体" w:hAnsi="宋体" w:eastAsia="宋体"/>
      <w:sz w:val="24"/>
      <w:szCs w:val="24"/>
    </w:rPr>
  </w:style>
  <w:style w:type="character" w:customStyle="1" w:styleId="12">
    <w:name w:val="lm表头 Char"/>
    <w:link w:val="13"/>
    <w:qFormat/>
    <w:locked/>
    <w:uiPriority w:val="0"/>
    <w:rPr>
      <w:rFonts w:ascii="宋体" w:hAnsi="宋体" w:eastAsia="宋体" w:cs="Times New Roman"/>
      <w:bCs/>
      <w:szCs w:val="21"/>
    </w:rPr>
  </w:style>
  <w:style w:type="paragraph" w:customStyle="1" w:styleId="13">
    <w:name w:val="lm表头"/>
    <w:basedOn w:val="1"/>
    <w:link w:val="12"/>
    <w:qFormat/>
    <w:uiPriority w:val="0"/>
    <w:pPr>
      <w:widowControl w:val="0"/>
      <w:adjustRightInd/>
      <w:snapToGrid/>
      <w:spacing w:beforeLines="50" w:after="0" w:line="328" w:lineRule="auto"/>
      <w:jc w:val="center"/>
    </w:pPr>
    <w:rPr>
      <w:rFonts w:ascii="宋体" w:hAnsi="宋体" w:eastAsia="宋体"/>
      <w:bCs/>
      <w:kern w:val="2"/>
      <w:sz w:val="21"/>
      <w:szCs w:val="21"/>
    </w:rPr>
  </w:style>
  <w:style w:type="character" w:customStyle="1" w:styleId="14">
    <w:name w:val="样式 正文 首行缩进:  2 字符 SL CON + 首行缩进:  2 字符 + 首行缩进:  2 字符 + 首行缩... Char"/>
    <w:link w:val="15"/>
    <w:qFormat/>
    <w:locked/>
    <w:uiPriority w:val="0"/>
    <w:rPr>
      <w:rFonts w:ascii="宋体" w:hAnsi="宋体" w:eastAsia="宋体" w:cs="Times New Roman"/>
      <w:kern w:val="0"/>
      <w:sz w:val="28"/>
      <w:szCs w:val="20"/>
    </w:rPr>
  </w:style>
  <w:style w:type="paragraph" w:customStyle="1" w:styleId="15">
    <w:name w:val="样式 正文 首行缩进:  2 字符 SL CON + 首行缩进:  2 字符 + 首行缩进:  2 字符 + 首行缩..."/>
    <w:basedOn w:val="1"/>
    <w:link w:val="14"/>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character" w:customStyle="1" w:styleId="16">
    <w:name w:val="样式 正文 首行缩进:  2 字符 SL CON + 首行缩进:  2 字符 Char"/>
    <w:link w:val="17"/>
    <w:qFormat/>
    <w:locked/>
    <w:uiPriority w:val="0"/>
    <w:rPr>
      <w:rFonts w:ascii="宋体" w:hAnsi="Times New Roman" w:eastAsia="宋体" w:cs="Times New Roman"/>
      <w:kern w:val="0"/>
      <w:sz w:val="28"/>
      <w:szCs w:val="20"/>
    </w:rPr>
  </w:style>
  <w:style w:type="paragraph" w:customStyle="1" w:styleId="17">
    <w:name w:val="样式 正文 首行缩进:  2 字符 SL CON + 首行缩进:  2 字符"/>
    <w:basedOn w:val="1"/>
    <w:link w:val="16"/>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18">
    <w:name w:val="fontstyle21"/>
    <w:basedOn w:val="8"/>
    <w:qFormat/>
    <w:uiPriority w:val="0"/>
    <w:rPr>
      <w:rFonts w:hint="default" w:ascii="TimesNewRomanPSMT" w:hAnsi="TimesNewRomanPSMT" w:eastAsia="TimesNewRomanPSMT" w:cs="TimesNewRomanPSMT"/>
      <w:color w:val="000000"/>
      <w:sz w:val="24"/>
      <w:szCs w:val="24"/>
    </w:rPr>
  </w:style>
  <w:style w:type="paragraph" w:customStyle="1" w:styleId="19">
    <w:name w:val="填表内容"/>
    <w:basedOn w:val="1"/>
    <w:qFormat/>
    <w:uiPriority w:val="0"/>
    <w:pPr>
      <w:widowControl w:val="0"/>
      <w:snapToGrid/>
      <w:spacing w:after="0" w:line="480" w:lineRule="exact"/>
      <w:ind w:firstLine="560" w:firstLineChars="200"/>
      <w:textAlignment w:val="baseline"/>
    </w:pPr>
    <w:rPr>
      <w:rFonts w:ascii="楷体_GB2312" w:hAnsi="Times New Roman" w:eastAsia="楷体_GB2312"/>
      <w:kern w:val="2"/>
      <w:sz w:val="28"/>
      <w:szCs w:val="20"/>
    </w:rPr>
  </w:style>
  <w:style w:type="character" w:customStyle="1" w:styleId="20">
    <w:name w:val="批注文字 Char"/>
    <w:basedOn w:val="8"/>
    <w:link w:val="2"/>
    <w:semiHidden/>
    <w:qFormat/>
    <w:uiPriority w:val="99"/>
    <w:rPr>
      <w:rFonts w:ascii="Tahoma" w:hAnsi="Tahoma" w:eastAsia="微软雅黑" w:cs="Times New Roman"/>
      <w:kern w:val="0"/>
      <w:sz w:val="22"/>
    </w:rPr>
  </w:style>
  <w:style w:type="character" w:customStyle="1" w:styleId="21">
    <w:name w:val="批注主题 Char"/>
    <w:basedOn w:val="20"/>
    <w:link w:val="5"/>
    <w:semiHidden/>
    <w:qFormat/>
    <w:uiPriority w:val="0"/>
    <w:rPr>
      <w:rFonts w:ascii="Times New Roman" w:hAnsi="Times New Roman" w:eastAsia="宋体" w:cs="Times New Roman"/>
      <w:b/>
      <w:bCs/>
      <w:kern w:val="0"/>
      <w:sz w:val="22"/>
      <w:szCs w:val="24"/>
    </w:rPr>
  </w:style>
  <w:style w:type="character" w:customStyle="1" w:styleId="22">
    <w:name w:val="页眉 Char"/>
    <w:basedOn w:val="8"/>
    <w:link w:val="4"/>
    <w:qFormat/>
    <w:uiPriority w:val="99"/>
    <w:rPr>
      <w:rFonts w:ascii="Tahoma" w:hAnsi="Tahoma" w:eastAsia="微软雅黑" w:cs="Times New Roman"/>
      <w:kern w:val="0"/>
      <w:sz w:val="18"/>
      <w:szCs w:val="18"/>
    </w:rPr>
  </w:style>
  <w:style w:type="character" w:customStyle="1" w:styleId="23">
    <w:name w:val="页脚 Char"/>
    <w:basedOn w:val="8"/>
    <w:link w:val="3"/>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65D3B0-2439-4CA8-973C-03E8D301CFAB}"/>
</file>

<file path=customXml/itemProps2.xml><?xml version="1.0" encoding="utf-8"?>
<ds:datastoreItem xmlns:ds="http://schemas.openxmlformats.org/officeDocument/2006/customXml" ds:itemID="{2B28308E-E8E7-475A-B276-928157E10A75}"/>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284D353A-BE24-4176-B3D9-9D7AA51BFF29}"/>
</file>

<file path=docProps/app.xml><?xml version="1.0" encoding="utf-8"?>
<Properties xmlns="http://schemas.openxmlformats.org/officeDocument/2006/extended-properties" xmlns:vt="http://schemas.openxmlformats.org/officeDocument/2006/docPropsVTypes">
  <Template>Normal</Template>
  <Pages>3</Pages>
  <Words>204</Words>
  <Characters>1163</Characters>
  <Lines>9</Lines>
  <Paragraphs>2</Paragraphs>
  <TotalTime>41</TotalTime>
  <ScaleCrop>false</ScaleCrop>
  <LinksUpToDate>false</LinksUpToDate>
  <CharactersWithSpaces>1365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123</cp:lastModifiedBy>
  <cp:revision>3</cp:revision>
  <dcterms:created xsi:type="dcterms:W3CDTF">2019-08-06T06:38:00Z</dcterms:created>
  <dcterms:modified xsi:type="dcterms:W3CDTF">2020-04-27T10:44:34Z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ContentTypeId">
    <vt:lpwstr>0x010100313989E510CC474A862876A387D6F14A</vt:lpwstr>
  </property>
</Properties>
</file>