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6E" w:rsidRDefault="001A7B6E" w:rsidP="001A7B6E">
      <w:pPr>
        <w:jc w:val="center"/>
        <w:rPr>
          <w:rFonts w:ascii="仿宋" w:eastAsia="仿宋" w:hAnsi="仿宋" w:cs="宋体"/>
          <w:bCs/>
          <w:color w:val="000000"/>
          <w:kern w:val="0"/>
          <w:sz w:val="22"/>
        </w:rPr>
      </w:pPr>
    </w:p>
    <w:p w:rsidR="001A7B6E" w:rsidRDefault="001A7B6E" w:rsidP="001A7B6E">
      <w:pPr>
        <w:jc w:val="center"/>
        <w:rPr>
          <w:rFonts w:ascii="仿宋" w:eastAsia="仿宋" w:hAnsi="仿宋" w:cs="宋体"/>
          <w:bCs/>
          <w:color w:val="000000"/>
          <w:kern w:val="0"/>
          <w:sz w:val="22"/>
        </w:rPr>
      </w:pPr>
    </w:p>
    <w:p w:rsidR="001A7B6E" w:rsidRDefault="001A7B6E" w:rsidP="001A7B6E">
      <w:pPr>
        <w:jc w:val="center"/>
        <w:rPr>
          <w:rFonts w:ascii="仿宋" w:eastAsia="仿宋" w:hAnsi="仿宋" w:cs="宋体"/>
          <w:bCs/>
          <w:color w:val="000000"/>
          <w:kern w:val="0"/>
          <w:sz w:val="22"/>
        </w:rPr>
      </w:pPr>
    </w:p>
    <w:p w:rsidR="001A7B6E" w:rsidRDefault="001A7B6E" w:rsidP="001A7B6E">
      <w:pPr>
        <w:jc w:val="center"/>
        <w:rPr>
          <w:rFonts w:ascii="仿宋" w:eastAsia="仿宋" w:hAnsi="仿宋" w:cs="宋体"/>
          <w:bCs/>
          <w:color w:val="000000"/>
          <w:kern w:val="0"/>
          <w:sz w:val="22"/>
        </w:rPr>
      </w:pPr>
    </w:p>
    <w:p w:rsidR="001A7B6E" w:rsidRDefault="001A7B6E" w:rsidP="001A7B6E">
      <w:pPr>
        <w:jc w:val="center"/>
        <w:rPr>
          <w:rFonts w:ascii="仿宋" w:eastAsia="仿宋" w:hAnsi="仿宋" w:cs="宋体"/>
          <w:bCs/>
          <w:color w:val="000000"/>
          <w:kern w:val="0"/>
          <w:sz w:val="22"/>
        </w:rPr>
      </w:pPr>
    </w:p>
    <w:p w:rsidR="001A7B6E" w:rsidRDefault="001A7B6E" w:rsidP="001A7B6E">
      <w:pPr>
        <w:jc w:val="center"/>
        <w:rPr>
          <w:rFonts w:ascii="仿宋" w:eastAsia="仿宋" w:hAnsi="仿宋" w:cs="宋体"/>
          <w:bCs/>
          <w:color w:val="000000"/>
          <w:kern w:val="0"/>
          <w:sz w:val="22"/>
        </w:rPr>
      </w:pPr>
    </w:p>
    <w:p w:rsidR="000B3E0D" w:rsidRPr="000B3E0D" w:rsidRDefault="000B3E0D" w:rsidP="000B3E0D">
      <w:pPr>
        <w:jc w:val="center"/>
        <w:rPr>
          <w:rFonts w:ascii="仿宋" w:eastAsia="仿宋" w:hAnsi="仿宋" w:cs="宋体"/>
          <w:bCs/>
          <w:color w:val="000000"/>
          <w:kern w:val="0"/>
          <w:sz w:val="40"/>
        </w:rPr>
      </w:pPr>
      <w:r w:rsidRPr="000B3E0D">
        <w:rPr>
          <w:rFonts w:ascii="仿宋" w:eastAsia="仿宋" w:hAnsi="仿宋" w:cs="宋体" w:hint="eastAsia"/>
          <w:bCs/>
          <w:color w:val="000000"/>
          <w:kern w:val="0"/>
          <w:sz w:val="40"/>
        </w:rPr>
        <w:t>东辛采油厂东营区西二路综合改造影响</w:t>
      </w:r>
    </w:p>
    <w:p w:rsidR="001A7B6E" w:rsidRDefault="000B3E0D" w:rsidP="000B3E0D">
      <w:pPr>
        <w:jc w:val="center"/>
        <w:rPr>
          <w:rFonts w:ascii="仿宋" w:eastAsia="仿宋" w:hAnsi="仿宋" w:cs="宋体"/>
          <w:bCs/>
          <w:color w:val="000000"/>
          <w:kern w:val="0"/>
          <w:sz w:val="40"/>
        </w:rPr>
      </w:pPr>
      <w:r w:rsidRPr="000B3E0D">
        <w:rPr>
          <w:rFonts w:ascii="仿宋" w:eastAsia="仿宋" w:hAnsi="仿宋" w:cs="宋体" w:hint="eastAsia"/>
          <w:bCs/>
          <w:color w:val="000000"/>
          <w:kern w:val="0"/>
          <w:sz w:val="40"/>
        </w:rPr>
        <w:t>营二采油管理区生产设施迁建工程</w:t>
      </w:r>
    </w:p>
    <w:p w:rsidR="00F15FCA" w:rsidRDefault="001A7B6E" w:rsidP="001A7B6E">
      <w:pPr>
        <w:jc w:val="center"/>
        <w:rPr>
          <w:rFonts w:ascii="仿宋" w:eastAsia="仿宋" w:hAnsi="仿宋" w:cs="宋体"/>
          <w:bCs/>
          <w:color w:val="000000"/>
          <w:kern w:val="0"/>
          <w:sz w:val="40"/>
        </w:rPr>
      </w:pPr>
      <w:r>
        <w:rPr>
          <w:rFonts w:ascii="仿宋" w:eastAsia="仿宋" w:hAnsi="仿宋" w:cs="宋体" w:hint="eastAsia"/>
          <w:bCs/>
          <w:color w:val="000000"/>
          <w:kern w:val="0"/>
          <w:sz w:val="40"/>
        </w:rPr>
        <w:t>验收</w:t>
      </w:r>
      <w:r w:rsidRPr="001A7B6E">
        <w:rPr>
          <w:rFonts w:ascii="仿宋" w:eastAsia="仿宋" w:hAnsi="仿宋" w:cs="宋体" w:hint="eastAsia"/>
          <w:bCs/>
          <w:color w:val="000000"/>
          <w:kern w:val="0"/>
          <w:sz w:val="40"/>
        </w:rPr>
        <w:t>调查</w:t>
      </w:r>
      <w:r w:rsidRPr="001A7B6E">
        <w:rPr>
          <w:rFonts w:ascii="仿宋" w:eastAsia="仿宋" w:hAnsi="仿宋" w:cs="宋体"/>
          <w:bCs/>
          <w:color w:val="000000"/>
          <w:kern w:val="0"/>
          <w:sz w:val="40"/>
        </w:rPr>
        <w:t>报告</w:t>
      </w: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r>
        <w:rPr>
          <w:rFonts w:ascii="仿宋" w:eastAsia="仿宋" w:hAnsi="仿宋" w:cs="宋体" w:hint="eastAsia"/>
          <w:bCs/>
          <w:color w:val="000000"/>
          <w:kern w:val="0"/>
          <w:sz w:val="40"/>
        </w:rPr>
        <w:t>调查</w:t>
      </w:r>
      <w:r>
        <w:rPr>
          <w:rFonts w:ascii="仿宋" w:eastAsia="仿宋" w:hAnsi="仿宋" w:cs="宋体"/>
          <w:bCs/>
          <w:color w:val="000000"/>
          <w:kern w:val="0"/>
          <w:sz w:val="40"/>
        </w:rPr>
        <w:t>时间：</w:t>
      </w:r>
      <w:r>
        <w:rPr>
          <w:rFonts w:ascii="仿宋" w:eastAsia="仿宋" w:hAnsi="仿宋" w:cs="宋体" w:hint="eastAsia"/>
          <w:bCs/>
          <w:color w:val="000000"/>
          <w:kern w:val="0"/>
          <w:sz w:val="40"/>
        </w:rPr>
        <w:t>2019.1</w:t>
      </w:r>
      <w:r w:rsidR="00831A0E">
        <w:rPr>
          <w:rFonts w:ascii="仿宋" w:eastAsia="仿宋" w:hAnsi="仿宋" w:cs="宋体"/>
          <w:bCs/>
          <w:color w:val="000000"/>
          <w:kern w:val="0"/>
          <w:sz w:val="40"/>
        </w:rPr>
        <w:t>2</w:t>
      </w:r>
      <w:r>
        <w:rPr>
          <w:rFonts w:ascii="仿宋" w:eastAsia="仿宋" w:hAnsi="仿宋" w:cs="宋体" w:hint="eastAsia"/>
          <w:bCs/>
          <w:color w:val="000000"/>
          <w:kern w:val="0"/>
          <w:sz w:val="40"/>
        </w:rPr>
        <w:t>.</w:t>
      </w:r>
      <w:r w:rsidR="00831A0E">
        <w:rPr>
          <w:rFonts w:ascii="仿宋" w:eastAsia="仿宋" w:hAnsi="仿宋" w:cs="宋体"/>
          <w:bCs/>
          <w:color w:val="000000"/>
          <w:kern w:val="0"/>
          <w:sz w:val="40"/>
        </w:rPr>
        <w:t>12</w:t>
      </w:r>
      <w:bookmarkStart w:id="0" w:name="_GoBack"/>
      <w:bookmarkEnd w:id="0"/>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1A7B6E">
      <w:pPr>
        <w:jc w:val="center"/>
        <w:rPr>
          <w:rFonts w:ascii="仿宋" w:eastAsia="仿宋" w:hAnsi="仿宋" w:cs="宋体"/>
          <w:bCs/>
          <w:color w:val="000000"/>
          <w:kern w:val="0"/>
          <w:sz w:val="40"/>
        </w:rPr>
      </w:pPr>
    </w:p>
    <w:p w:rsidR="001A7B6E" w:rsidRDefault="001A7B6E" w:rsidP="000B3E0D">
      <w:pPr>
        <w:widowControl/>
        <w:jc w:val="center"/>
        <w:rPr>
          <w:rFonts w:ascii="仿宋" w:eastAsia="仿宋" w:hAnsi="仿宋" w:cs="宋体"/>
          <w:bCs/>
          <w:color w:val="000000"/>
          <w:kern w:val="0"/>
          <w:sz w:val="40"/>
        </w:rPr>
      </w:pPr>
      <w:r>
        <w:rPr>
          <w:rFonts w:ascii="仿宋" w:eastAsia="仿宋" w:hAnsi="仿宋" w:cs="宋体"/>
          <w:bCs/>
          <w:color w:val="000000"/>
          <w:kern w:val="0"/>
          <w:sz w:val="40"/>
        </w:rPr>
        <w:br w:type="page"/>
      </w:r>
      <w:r>
        <w:rPr>
          <w:rFonts w:ascii="仿宋" w:eastAsia="仿宋" w:hAnsi="仿宋" w:cs="宋体" w:hint="eastAsia"/>
          <w:bCs/>
          <w:color w:val="000000"/>
          <w:kern w:val="0"/>
          <w:sz w:val="40"/>
        </w:rPr>
        <w:lastRenderedPageBreak/>
        <w:t>调查内容</w:t>
      </w:r>
      <w:r>
        <w:rPr>
          <w:rFonts w:ascii="仿宋" w:eastAsia="仿宋" w:hAnsi="仿宋" w:cs="宋体"/>
          <w:bCs/>
          <w:color w:val="000000"/>
          <w:kern w:val="0"/>
          <w:sz w:val="40"/>
        </w:rPr>
        <w:t>明细</w:t>
      </w:r>
    </w:p>
    <w:p w:rsidR="00D860C5" w:rsidRDefault="00D860C5" w:rsidP="00D860C5">
      <w:pPr>
        <w:jc w:val="left"/>
        <w:rPr>
          <w:rFonts w:ascii="Times New Roman" w:eastAsia="仿宋" w:hAnsi="Times New Roman" w:cs="Times New Roman"/>
          <w:sz w:val="28"/>
        </w:rPr>
      </w:pPr>
      <w:r>
        <w:rPr>
          <w:rFonts w:ascii="Times New Roman" w:eastAsia="仿宋" w:hAnsi="Times New Roman" w:cs="Times New Roman" w:hint="eastAsia"/>
          <w:sz w:val="28"/>
        </w:rPr>
        <w:t>一</w:t>
      </w:r>
      <w:r>
        <w:rPr>
          <w:rFonts w:ascii="Times New Roman" w:eastAsia="仿宋" w:hAnsi="Times New Roman" w:cs="Times New Roman"/>
          <w:sz w:val="28"/>
        </w:rPr>
        <w:t>、</w:t>
      </w:r>
      <w:r w:rsidR="00DC1D60" w:rsidRPr="00A707D5">
        <w:rPr>
          <w:rFonts w:ascii="Times New Roman" w:eastAsia="仿宋" w:hAnsi="Times New Roman" w:cs="Times New Roman" w:hint="eastAsia"/>
          <w:sz w:val="28"/>
        </w:rPr>
        <w:t>工程</w:t>
      </w:r>
      <w:r w:rsidR="003B4DDD">
        <w:rPr>
          <w:rFonts w:ascii="Times New Roman" w:eastAsia="仿宋" w:hAnsi="Times New Roman" w:cs="Times New Roman" w:hint="eastAsia"/>
          <w:sz w:val="28"/>
        </w:rPr>
        <w:t>概况</w:t>
      </w:r>
      <w:r w:rsidR="00A707D5" w:rsidRPr="00A707D5">
        <w:rPr>
          <w:rFonts w:ascii="Times New Roman" w:eastAsia="仿宋" w:hAnsi="Times New Roman" w:cs="Times New Roman"/>
          <w:sz w:val="28"/>
        </w:rPr>
        <w:t>：</w:t>
      </w:r>
    </w:p>
    <w:p w:rsidR="003B4DDD" w:rsidRDefault="003B4DDD" w:rsidP="00D860C5">
      <w:pPr>
        <w:jc w:val="left"/>
        <w:rPr>
          <w:rFonts w:ascii="Times New Roman" w:eastAsia="仿宋" w:hAnsi="Times New Roman" w:cs="Times New Roman"/>
          <w:sz w:val="28"/>
        </w:rPr>
      </w:pPr>
      <w:r>
        <w:rPr>
          <w:rFonts w:ascii="Times New Roman" w:eastAsia="仿宋" w:hAnsi="Times New Roman" w:cs="Times New Roman" w:hint="eastAsia"/>
          <w:sz w:val="28"/>
        </w:rPr>
        <w:t>1</w:t>
      </w:r>
      <w:r>
        <w:rPr>
          <w:rFonts w:ascii="Times New Roman" w:eastAsia="仿宋" w:hAnsi="Times New Roman" w:cs="Times New Roman" w:hint="eastAsia"/>
          <w:sz w:val="28"/>
        </w:rPr>
        <w:t>、</w:t>
      </w:r>
      <w:r>
        <w:rPr>
          <w:rFonts w:ascii="Times New Roman" w:eastAsia="仿宋" w:hAnsi="Times New Roman" w:cs="Times New Roman"/>
          <w:sz w:val="28"/>
        </w:rPr>
        <w:t>工程建设内容：</w:t>
      </w:r>
    </w:p>
    <w:p w:rsidR="00E6128A" w:rsidRDefault="00DC1D60" w:rsidP="003B4DDD">
      <w:pPr>
        <w:ind w:firstLineChars="100" w:firstLine="280"/>
        <w:jc w:val="left"/>
        <w:rPr>
          <w:rFonts w:ascii="Times New Roman" w:eastAsia="仿宋" w:hAnsi="Times New Roman" w:cs="Times New Roman"/>
          <w:sz w:val="28"/>
        </w:rPr>
      </w:pPr>
      <w:r w:rsidRPr="00A707D5">
        <w:rPr>
          <w:rFonts w:ascii="Times New Roman" w:eastAsia="仿宋" w:hAnsi="Times New Roman" w:cs="Times New Roman" w:hint="eastAsia"/>
          <w:sz w:val="28"/>
        </w:rPr>
        <w:t>（</w:t>
      </w:r>
      <w:r w:rsidRPr="00A707D5">
        <w:rPr>
          <w:rFonts w:ascii="Times New Roman" w:eastAsia="仿宋" w:hAnsi="Times New Roman" w:cs="Times New Roman" w:hint="eastAsia"/>
          <w:sz w:val="28"/>
        </w:rPr>
        <w:t>1</w:t>
      </w:r>
      <w:r w:rsidRPr="00A707D5">
        <w:rPr>
          <w:rFonts w:ascii="Times New Roman" w:eastAsia="仿宋" w:hAnsi="Times New Roman" w:cs="Times New Roman" w:hint="eastAsia"/>
          <w:sz w:val="28"/>
        </w:rPr>
        <w:t>）油气集输部分迁建工程根据西二路两侧已建管线路由，本次共迁建已建油气管线</w:t>
      </w:r>
      <w:r w:rsidRPr="00A707D5">
        <w:rPr>
          <w:rFonts w:ascii="Times New Roman" w:eastAsia="仿宋" w:hAnsi="Times New Roman" w:cs="Times New Roman" w:hint="eastAsia"/>
          <w:sz w:val="28"/>
        </w:rPr>
        <w:t>2</w:t>
      </w:r>
      <w:r w:rsidRPr="00A707D5">
        <w:rPr>
          <w:rFonts w:ascii="Times New Roman" w:eastAsia="仿宋" w:hAnsi="Times New Roman" w:cs="Times New Roman" w:hint="eastAsia"/>
          <w:sz w:val="28"/>
        </w:rPr>
        <w:t>条。</w:t>
      </w:r>
      <w:r w:rsidRPr="00A707D5">
        <w:rPr>
          <w:rFonts w:ascii="Times New Roman" w:eastAsia="仿宋" w:hAnsi="Times New Roman" w:cs="Times New Roman" w:hint="eastAsia"/>
          <w:sz w:val="28"/>
        </w:rPr>
        <w:t xml:space="preserve"> </w:t>
      </w:r>
    </w:p>
    <w:p w:rsidR="00DC1D60" w:rsidRPr="00A707D5" w:rsidRDefault="00E6128A" w:rsidP="003B4DDD">
      <w:pPr>
        <w:ind w:firstLineChars="150" w:firstLine="420"/>
        <w:jc w:val="left"/>
        <w:rPr>
          <w:rFonts w:ascii="Times New Roman" w:eastAsia="仿宋" w:hAnsi="Times New Roman" w:cs="Times New Roman"/>
          <w:sz w:val="28"/>
        </w:rPr>
      </w:pPr>
      <w:r>
        <w:rPr>
          <w:rFonts w:ascii="Times New Roman" w:eastAsia="仿宋" w:hAnsi="Times New Roman" w:cs="Times New Roman" w:hint="eastAsia"/>
          <w:sz w:val="28"/>
        </w:rPr>
        <w:t>①</w:t>
      </w:r>
      <w:r w:rsidR="00DC1D60" w:rsidRPr="00A707D5">
        <w:rPr>
          <w:rFonts w:ascii="Times New Roman" w:eastAsia="仿宋" w:hAnsi="Times New Roman" w:cs="Times New Roman" w:hint="eastAsia"/>
          <w:sz w:val="28"/>
        </w:rPr>
        <w:t>34</w:t>
      </w:r>
      <w:r w:rsidR="00DC1D60" w:rsidRPr="00A707D5">
        <w:rPr>
          <w:rFonts w:ascii="Times New Roman" w:eastAsia="仿宋" w:hAnsi="Times New Roman" w:cs="Times New Roman" w:hint="eastAsia"/>
          <w:sz w:val="28"/>
        </w:rPr>
        <w:t>队集油支干线</w:t>
      </w:r>
    </w:p>
    <w:p w:rsidR="00DC1D60" w:rsidRPr="00D860C5" w:rsidRDefault="00DC1D60" w:rsidP="003B4DDD">
      <w:pPr>
        <w:ind w:firstLineChars="150" w:firstLine="420"/>
        <w:jc w:val="left"/>
        <w:rPr>
          <w:rFonts w:ascii="Times New Roman" w:eastAsia="仿宋" w:hAnsi="Times New Roman" w:cs="Times New Roman"/>
          <w:sz w:val="28"/>
        </w:rPr>
      </w:pPr>
      <w:r w:rsidRPr="00A707D5">
        <w:rPr>
          <w:rFonts w:ascii="Times New Roman" w:eastAsia="仿宋" w:hAnsi="Times New Roman" w:cs="Times New Roman" w:hint="eastAsia"/>
          <w:sz w:val="28"/>
        </w:rPr>
        <w:t>采油</w:t>
      </w:r>
      <w:r w:rsidRPr="00A707D5">
        <w:rPr>
          <w:rFonts w:ascii="Times New Roman" w:eastAsia="仿宋" w:hAnsi="Times New Roman" w:cs="Times New Roman" w:hint="eastAsia"/>
          <w:sz w:val="28"/>
        </w:rPr>
        <w:t>34</w:t>
      </w:r>
      <w:r w:rsidRPr="00A707D5">
        <w:rPr>
          <w:rFonts w:ascii="Times New Roman" w:eastAsia="仿宋" w:hAnsi="Times New Roman" w:cs="Times New Roman" w:hint="eastAsia"/>
          <w:sz w:val="28"/>
        </w:rPr>
        <w:t>队外输线（Φ</w:t>
      </w:r>
      <w:r w:rsidRPr="00A707D5">
        <w:rPr>
          <w:rFonts w:ascii="Times New Roman" w:eastAsia="仿宋" w:hAnsi="Times New Roman" w:cs="Times New Roman" w:hint="eastAsia"/>
          <w:sz w:val="28"/>
        </w:rPr>
        <w:t>273</w:t>
      </w:r>
      <w:r w:rsidRPr="00A707D5">
        <w:rPr>
          <w:rFonts w:ascii="Times New Roman" w:eastAsia="仿宋" w:hAnsi="Times New Roman" w:cs="Times New Roman" w:hint="eastAsia"/>
          <w:sz w:val="28"/>
        </w:rPr>
        <w:t>×</w:t>
      </w:r>
      <w:r w:rsidRPr="00A707D5">
        <w:rPr>
          <w:rFonts w:ascii="Times New Roman" w:eastAsia="仿宋" w:hAnsi="Times New Roman" w:cs="Times New Roman" w:hint="eastAsia"/>
          <w:sz w:val="28"/>
        </w:rPr>
        <w:t>7</w:t>
      </w:r>
      <w:r w:rsidRPr="00A707D5">
        <w:rPr>
          <w:rFonts w:ascii="Times New Roman" w:eastAsia="仿宋" w:hAnsi="Times New Roman" w:cs="Times New Roman" w:hint="eastAsia"/>
          <w:sz w:val="28"/>
        </w:rPr>
        <w:t>，外防</w:t>
      </w:r>
      <w:r w:rsidRPr="00A707D5">
        <w:rPr>
          <w:rFonts w:ascii="Times New Roman" w:eastAsia="仿宋" w:hAnsi="Times New Roman" w:cs="Times New Roman" w:hint="eastAsia"/>
          <w:sz w:val="28"/>
        </w:rPr>
        <w:t>3PE</w:t>
      </w:r>
      <w:r w:rsidRPr="00A707D5">
        <w:rPr>
          <w:rFonts w:ascii="Times New Roman" w:eastAsia="仿宋" w:hAnsi="Times New Roman" w:cs="Times New Roman" w:hint="eastAsia"/>
          <w:sz w:val="28"/>
        </w:rPr>
        <w:t>聚氨酯泡沫夹克保温、玻璃鳞片内防）东侧迁建至绿化带内，与西二路平行敷设</w:t>
      </w:r>
      <w:r w:rsidRPr="00A707D5">
        <w:rPr>
          <w:rFonts w:ascii="Times New Roman" w:eastAsia="仿宋" w:hAnsi="Times New Roman" w:cs="Times New Roman" w:hint="eastAsia"/>
          <w:sz w:val="28"/>
        </w:rPr>
        <w:t>960m</w:t>
      </w:r>
      <w:r w:rsidRPr="00D860C5">
        <w:rPr>
          <w:rFonts w:ascii="Times New Roman" w:eastAsia="仿宋" w:hAnsi="Times New Roman" w:cs="Times New Roman" w:hint="eastAsia"/>
          <w:sz w:val="28"/>
        </w:rPr>
        <w:t>后接至新建七井式集油阀组，接已建穿越西二路段管线后，西二路西侧采油</w:t>
      </w:r>
      <w:r w:rsidRPr="00D860C5">
        <w:rPr>
          <w:rFonts w:ascii="Times New Roman" w:eastAsia="仿宋" w:hAnsi="Times New Roman" w:cs="Times New Roman" w:hint="eastAsia"/>
          <w:sz w:val="28"/>
        </w:rPr>
        <w:t>34</w:t>
      </w:r>
      <w:r w:rsidRPr="00D860C5">
        <w:rPr>
          <w:rFonts w:ascii="Times New Roman" w:eastAsia="仿宋" w:hAnsi="Times New Roman" w:cs="Times New Roman" w:hint="eastAsia"/>
          <w:sz w:val="28"/>
        </w:rPr>
        <w:t>队外输线（Φ</w:t>
      </w:r>
      <w:r w:rsidRPr="00D860C5">
        <w:rPr>
          <w:rFonts w:ascii="Times New Roman" w:eastAsia="仿宋" w:hAnsi="Times New Roman" w:cs="Times New Roman" w:hint="eastAsia"/>
          <w:sz w:val="28"/>
        </w:rPr>
        <w:t>273</w:t>
      </w:r>
      <w:r w:rsidRPr="00D860C5">
        <w:rPr>
          <w:rFonts w:ascii="Times New Roman" w:eastAsia="仿宋" w:hAnsi="Times New Roman" w:cs="Times New Roman" w:hint="eastAsia"/>
          <w:sz w:val="28"/>
        </w:rPr>
        <w:t>×</w:t>
      </w:r>
      <w:r w:rsidRPr="00D860C5">
        <w:rPr>
          <w:rFonts w:ascii="Times New Roman" w:eastAsia="仿宋" w:hAnsi="Times New Roman" w:cs="Times New Roman" w:hint="eastAsia"/>
          <w:sz w:val="28"/>
        </w:rPr>
        <w:t>7</w:t>
      </w:r>
      <w:r w:rsidRPr="00D860C5">
        <w:rPr>
          <w:rFonts w:ascii="Times New Roman" w:eastAsia="仿宋" w:hAnsi="Times New Roman" w:cs="Times New Roman" w:hint="eastAsia"/>
          <w:sz w:val="28"/>
        </w:rPr>
        <w:t>，外防</w:t>
      </w:r>
      <w:r w:rsidRPr="00D860C5">
        <w:rPr>
          <w:rFonts w:ascii="Times New Roman" w:eastAsia="仿宋" w:hAnsi="Times New Roman" w:cs="Times New Roman" w:hint="eastAsia"/>
          <w:sz w:val="28"/>
        </w:rPr>
        <w:t>3PE</w:t>
      </w:r>
      <w:r w:rsidRPr="00D860C5">
        <w:rPr>
          <w:rFonts w:ascii="Times New Roman" w:eastAsia="仿宋" w:hAnsi="Times New Roman" w:cs="Times New Roman" w:hint="eastAsia"/>
          <w:sz w:val="28"/>
        </w:rPr>
        <w:t>聚氨酯泡沫夹克保温、玻璃鳞片内防）西侧也迁建至绿化带内，新建管线长度</w:t>
      </w:r>
      <w:r w:rsidRPr="00D860C5">
        <w:rPr>
          <w:rFonts w:ascii="Times New Roman" w:eastAsia="仿宋" w:hAnsi="Times New Roman" w:cs="Times New Roman" w:hint="eastAsia"/>
          <w:sz w:val="28"/>
        </w:rPr>
        <w:t>586m</w:t>
      </w:r>
      <w:r w:rsidRPr="00D860C5">
        <w:rPr>
          <w:rFonts w:ascii="Times New Roman" w:eastAsia="仿宋" w:hAnsi="Times New Roman" w:cs="Times New Roman" w:hint="eastAsia"/>
          <w:sz w:val="28"/>
        </w:rPr>
        <w:t>。共新建管线</w:t>
      </w:r>
      <w:r w:rsidRPr="00D860C5">
        <w:rPr>
          <w:rFonts w:ascii="Times New Roman" w:eastAsia="仿宋" w:hAnsi="Times New Roman" w:cs="Times New Roman" w:hint="eastAsia"/>
          <w:sz w:val="28"/>
        </w:rPr>
        <w:t>1546</w:t>
      </w:r>
      <w:r w:rsidRPr="00D860C5">
        <w:rPr>
          <w:rFonts w:ascii="Times New Roman" w:eastAsia="仿宋" w:hAnsi="Times New Roman" w:cs="Times New Roman" w:hint="eastAsia"/>
          <w:sz w:val="28"/>
        </w:rPr>
        <w:t>米。</w:t>
      </w:r>
    </w:p>
    <w:p w:rsidR="00DC1D60" w:rsidRPr="00D860C5" w:rsidRDefault="00E6128A" w:rsidP="00E6128A">
      <w:pPr>
        <w:ind w:firstLineChars="150" w:firstLine="420"/>
        <w:jc w:val="left"/>
        <w:rPr>
          <w:rFonts w:ascii="Times New Roman" w:eastAsia="仿宋" w:hAnsi="Times New Roman" w:cs="Times New Roman"/>
          <w:sz w:val="28"/>
        </w:rPr>
      </w:pPr>
      <w:r>
        <w:rPr>
          <w:rFonts w:ascii="Times New Roman" w:eastAsia="仿宋" w:hAnsi="Times New Roman" w:cs="Times New Roman" w:hint="eastAsia"/>
          <w:sz w:val="28"/>
        </w:rPr>
        <w:t>②</w:t>
      </w:r>
      <w:r w:rsidR="00DC1D60" w:rsidRPr="00D860C5">
        <w:rPr>
          <w:rFonts w:ascii="Times New Roman" w:eastAsia="仿宋" w:hAnsi="Times New Roman" w:cs="Times New Roman" w:hint="eastAsia"/>
          <w:sz w:val="28"/>
        </w:rPr>
        <w:t>采油</w:t>
      </w:r>
      <w:r w:rsidR="00DC1D60" w:rsidRPr="00D860C5">
        <w:rPr>
          <w:rFonts w:ascii="Times New Roman" w:eastAsia="仿宋" w:hAnsi="Times New Roman" w:cs="Times New Roman" w:hint="eastAsia"/>
          <w:sz w:val="28"/>
        </w:rPr>
        <w:t>20</w:t>
      </w:r>
      <w:r w:rsidR="00DC1D60" w:rsidRPr="00D860C5">
        <w:rPr>
          <w:rFonts w:ascii="Times New Roman" w:eastAsia="仿宋" w:hAnsi="Times New Roman" w:cs="Times New Roman" w:hint="eastAsia"/>
          <w:sz w:val="28"/>
        </w:rPr>
        <w:t>队集油支干线</w:t>
      </w:r>
    </w:p>
    <w:p w:rsidR="00DC1D60" w:rsidRPr="00D860C5" w:rsidRDefault="00DC1D60" w:rsidP="00E6128A">
      <w:pPr>
        <w:ind w:firstLineChars="150" w:firstLine="420"/>
        <w:jc w:val="left"/>
        <w:rPr>
          <w:rFonts w:ascii="Times New Roman" w:eastAsia="仿宋" w:hAnsi="Times New Roman" w:cs="Times New Roman"/>
          <w:sz w:val="28"/>
        </w:rPr>
      </w:pPr>
      <w:r w:rsidRPr="00D860C5">
        <w:rPr>
          <w:rFonts w:ascii="Times New Roman" w:eastAsia="仿宋" w:hAnsi="Times New Roman" w:cs="Times New Roman" w:hint="eastAsia"/>
          <w:sz w:val="28"/>
        </w:rPr>
        <w:t>采油</w:t>
      </w:r>
      <w:r w:rsidRPr="00D860C5">
        <w:rPr>
          <w:rFonts w:ascii="Times New Roman" w:eastAsia="仿宋" w:hAnsi="Times New Roman" w:cs="Times New Roman" w:hint="eastAsia"/>
          <w:sz w:val="28"/>
        </w:rPr>
        <w:t>20</w:t>
      </w:r>
      <w:r w:rsidRPr="00D860C5">
        <w:rPr>
          <w:rFonts w:ascii="Times New Roman" w:eastAsia="仿宋" w:hAnsi="Times New Roman" w:cs="Times New Roman" w:hint="eastAsia"/>
          <w:sz w:val="28"/>
        </w:rPr>
        <w:t>队外输线（Φ</w:t>
      </w:r>
      <w:r w:rsidRPr="00D860C5">
        <w:rPr>
          <w:rFonts w:ascii="Times New Roman" w:eastAsia="仿宋" w:hAnsi="Times New Roman" w:cs="Times New Roman" w:hint="eastAsia"/>
          <w:sz w:val="28"/>
        </w:rPr>
        <w:t>168</w:t>
      </w:r>
      <w:r w:rsidRPr="00D860C5">
        <w:rPr>
          <w:rFonts w:ascii="Times New Roman" w:eastAsia="仿宋" w:hAnsi="Times New Roman" w:cs="Times New Roman" w:hint="eastAsia"/>
          <w:sz w:val="28"/>
        </w:rPr>
        <w:t>×</w:t>
      </w:r>
      <w:r w:rsidRPr="00D860C5">
        <w:rPr>
          <w:rFonts w:ascii="Times New Roman" w:eastAsia="仿宋" w:hAnsi="Times New Roman" w:cs="Times New Roman" w:hint="eastAsia"/>
          <w:sz w:val="28"/>
        </w:rPr>
        <w:t>5</w:t>
      </w:r>
      <w:r w:rsidRPr="00D860C5">
        <w:rPr>
          <w:rFonts w:ascii="Times New Roman" w:eastAsia="仿宋" w:hAnsi="Times New Roman" w:cs="Times New Roman" w:hint="eastAsia"/>
          <w:sz w:val="28"/>
        </w:rPr>
        <w:t>，外防</w:t>
      </w:r>
      <w:r w:rsidRPr="00D860C5">
        <w:rPr>
          <w:rFonts w:ascii="Times New Roman" w:eastAsia="仿宋" w:hAnsi="Times New Roman" w:cs="Times New Roman" w:hint="eastAsia"/>
          <w:sz w:val="28"/>
        </w:rPr>
        <w:t>2PE</w:t>
      </w:r>
      <w:r w:rsidRPr="00D860C5">
        <w:rPr>
          <w:rFonts w:ascii="Times New Roman" w:eastAsia="仿宋" w:hAnsi="Times New Roman" w:cs="Times New Roman" w:hint="eastAsia"/>
          <w:sz w:val="28"/>
        </w:rPr>
        <w:t>、高分子内防）西侧迁建至绿化带内，更换长度</w:t>
      </w:r>
      <w:r w:rsidRPr="00D860C5">
        <w:rPr>
          <w:rFonts w:ascii="Times New Roman" w:eastAsia="仿宋" w:hAnsi="Times New Roman" w:cs="Times New Roman" w:hint="eastAsia"/>
          <w:sz w:val="28"/>
        </w:rPr>
        <w:t>315m</w:t>
      </w:r>
      <w:r w:rsidRPr="00D860C5">
        <w:rPr>
          <w:rFonts w:ascii="Times New Roman" w:eastAsia="仿宋" w:hAnsi="Times New Roman" w:cs="Times New Roman" w:hint="eastAsia"/>
          <w:sz w:val="28"/>
        </w:rPr>
        <w:t>，同时新建七井式玉鹰集油阀组。</w:t>
      </w:r>
    </w:p>
    <w:p w:rsidR="00DC1D60" w:rsidRDefault="00DC1D60" w:rsidP="00DC1D60">
      <w:pPr>
        <w:jc w:val="center"/>
        <w:rPr>
          <w:rFonts w:ascii="宋体" w:eastAsia="宋体" w:hAnsi="宋体"/>
          <w:color w:val="000000"/>
          <w:szCs w:val="21"/>
        </w:rPr>
      </w:pPr>
      <w:r>
        <w:rPr>
          <w:rFonts w:ascii="宋体" w:eastAsia="宋体" w:hAnsi="宋体" w:hint="eastAsia"/>
          <w:color w:val="000000"/>
          <w:szCs w:val="21"/>
        </w:rPr>
        <w:t>表1 集油支干线迁建一览表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1939"/>
        <w:gridCol w:w="1032"/>
        <w:gridCol w:w="2195"/>
        <w:gridCol w:w="903"/>
        <w:gridCol w:w="1604"/>
      </w:tblGrid>
      <w:tr w:rsidR="00DC1D60" w:rsidTr="00DC1D60">
        <w:trPr>
          <w:trHeight w:val="384"/>
          <w:tblHeader/>
          <w:jc w:val="center"/>
        </w:trPr>
        <w:tc>
          <w:tcPr>
            <w:tcW w:w="375" w:type="pct"/>
            <w:tcBorders>
              <w:top w:val="single" w:sz="4" w:space="0" w:color="auto"/>
              <w:left w:val="single" w:sz="4" w:space="0" w:color="000000"/>
              <w:bottom w:val="single" w:sz="4" w:space="0" w:color="000000"/>
              <w:right w:val="single" w:sz="4" w:space="0" w:color="000000"/>
            </w:tcBorders>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序号</w:t>
            </w:r>
          </w:p>
        </w:tc>
        <w:tc>
          <w:tcPr>
            <w:tcW w:w="1168" w:type="pct"/>
            <w:tcBorders>
              <w:top w:val="single" w:sz="4" w:space="0" w:color="auto"/>
              <w:left w:val="single" w:sz="4" w:space="0" w:color="000000"/>
              <w:bottom w:val="single" w:sz="4" w:space="0" w:color="000000"/>
              <w:right w:val="single" w:sz="4" w:space="0" w:color="000000"/>
            </w:tcBorders>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管线名称</w:t>
            </w:r>
          </w:p>
        </w:tc>
        <w:tc>
          <w:tcPr>
            <w:tcW w:w="622" w:type="pct"/>
            <w:tcBorders>
              <w:top w:val="single" w:sz="4" w:space="0" w:color="auto"/>
              <w:left w:val="single" w:sz="4" w:space="0" w:color="auto"/>
              <w:bottom w:val="single" w:sz="4" w:space="0" w:color="000000"/>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外径</w:t>
            </w:r>
          </w:p>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（mm）</w:t>
            </w:r>
          </w:p>
        </w:tc>
        <w:tc>
          <w:tcPr>
            <w:tcW w:w="1322"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管线防护</w:t>
            </w:r>
          </w:p>
        </w:tc>
        <w:tc>
          <w:tcPr>
            <w:tcW w:w="544"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迁建长度（m）</w:t>
            </w:r>
          </w:p>
        </w:tc>
        <w:tc>
          <w:tcPr>
            <w:tcW w:w="967"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备注</w:t>
            </w:r>
          </w:p>
        </w:tc>
      </w:tr>
      <w:tr w:rsidR="00DC1D60" w:rsidTr="00DC1D60">
        <w:trPr>
          <w:trHeight w:val="340"/>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1</w:t>
            </w:r>
          </w:p>
        </w:tc>
        <w:tc>
          <w:tcPr>
            <w:tcW w:w="1168" w:type="pct"/>
            <w:tcBorders>
              <w:top w:val="single" w:sz="4" w:space="0" w:color="000000"/>
              <w:left w:val="single" w:sz="4" w:space="0" w:color="000000"/>
              <w:bottom w:val="single" w:sz="4" w:space="0" w:color="000000"/>
              <w:right w:val="single" w:sz="4" w:space="0" w:color="000000"/>
            </w:tcBorders>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采油34队集油干线</w:t>
            </w:r>
          </w:p>
        </w:tc>
        <w:tc>
          <w:tcPr>
            <w:tcW w:w="622"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Φ273×7</w:t>
            </w:r>
          </w:p>
        </w:tc>
        <w:tc>
          <w:tcPr>
            <w:tcW w:w="1322"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外防3PE聚氨酯泡沫夹克保温、玻璃鳞片内防</w:t>
            </w:r>
          </w:p>
        </w:tc>
        <w:tc>
          <w:tcPr>
            <w:tcW w:w="544"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1546</w:t>
            </w:r>
          </w:p>
        </w:tc>
        <w:tc>
          <w:tcPr>
            <w:tcW w:w="967"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新建七井式集油阀组</w:t>
            </w:r>
          </w:p>
        </w:tc>
      </w:tr>
      <w:tr w:rsidR="00DC1D60" w:rsidTr="00DC1D60">
        <w:trPr>
          <w:trHeight w:val="126"/>
          <w:jc w:val="center"/>
        </w:trPr>
        <w:tc>
          <w:tcPr>
            <w:tcW w:w="375" w:type="pct"/>
            <w:tcBorders>
              <w:top w:val="single" w:sz="4" w:space="0" w:color="000000"/>
              <w:left w:val="single" w:sz="4" w:space="0" w:color="000000"/>
              <w:bottom w:val="single" w:sz="4" w:space="0" w:color="000000"/>
              <w:right w:val="single" w:sz="4" w:space="0" w:color="000000"/>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2</w:t>
            </w:r>
          </w:p>
        </w:tc>
        <w:tc>
          <w:tcPr>
            <w:tcW w:w="1168" w:type="pct"/>
            <w:tcBorders>
              <w:top w:val="single" w:sz="4" w:space="0" w:color="000000"/>
              <w:left w:val="single" w:sz="4" w:space="0" w:color="000000"/>
              <w:bottom w:val="single" w:sz="4" w:space="0" w:color="000000"/>
              <w:right w:val="single" w:sz="4" w:space="0" w:color="000000"/>
            </w:tcBorders>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采油20队集油干线</w:t>
            </w:r>
          </w:p>
        </w:tc>
        <w:tc>
          <w:tcPr>
            <w:tcW w:w="622"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Φ168×5</w:t>
            </w:r>
          </w:p>
        </w:tc>
        <w:tc>
          <w:tcPr>
            <w:tcW w:w="1322"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外防2PE、高分子内防</w:t>
            </w:r>
          </w:p>
        </w:tc>
        <w:tc>
          <w:tcPr>
            <w:tcW w:w="544"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315</w:t>
            </w:r>
          </w:p>
        </w:tc>
        <w:tc>
          <w:tcPr>
            <w:tcW w:w="967" w:type="pct"/>
            <w:tcBorders>
              <w:top w:val="single" w:sz="4" w:space="0" w:color="000000"/>
              <w:left w:val="single" w:sz="4" w:space="0" w:color="auto"/>
              <w:bottom w:val="single" w:sz="4" w:space="0" w:color="000000"/>
              <w:right w:val="single" w:sz="4" w:space="0" w:color="auto"/>
            </w:tcBorders>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新建七井式玉鹰阀组</w:t>
            </w:r>
          </w:p>
        </w:tc>
      </w:tr>
    </w:tbl>
    <w:p w:rsidR="00DC1D60" w:rsidRPr="00E6128A" w:rsidRDefault="00DC1D60" w:rsidP="00E6128A">
      <w:pPr>
        <w:ind w:firstLineChars="150" w:firstLine="315"/>
        <w:jc w:val="left"/>
        <w:rPr>
          <w:rFonts w:ascii="Times New Roman" w:eastAsia="仿宋" w:hAnsi="Times New Roman" w:cs="Times New Roman"/>
          <w:sz w:val="28"/>
        </w:rPr>
      </w:pPr>
      <w:r>
        <w:rPr>
          <w:rFonts w:ascii="宋体" w:eastAsia="宋体" w:hAnsi="宋体" w:hint="eastAsia"/>
          <w:color w:val="000000"/>
          <w:szCs w:val="21"/>
        </w:rPr>
        <w:t xml:space="preserve"> </w:t>
      </w:r>
      <w:r w:rsidRPr="00E6128A">
        <w:rPr>
          <w:rFonts w:ascii="Times New Roman" w:eastAsia="仿宋" w:hAnsi="Times New Roman" w:cs="Times New Roman" w:hint="eastAsia"/>
          <w:sz w:val="28"/>
        </w:rPr>
        <w:t>（</w:t>
      </w:r>
      <w:r w:rsidRPr="00E6128A">
        <w:rPr>
          <w:rFonts w:ascii="Times New Roman" w:eastAsia="仿宋" w:hAnsi="Times New Roman" w:cs="Times New Roman" w:hint="eastAsia"/>
          <w:sz w:val="28"/>
        </w:rPr>
        <w:t>2</w:t>
      </w:r>
      <w:r w:rsidRPr="00E6128A">
        <w:rPr>
          <w:rFonts w:ascii="Times New Roman" w:eastAsia="仿宋" w:hAnsi="Times New Roman" w:cs="Times New Roman" w:hint="eastAsia"/>
          <w:sz w:val="28"/>
        </w:rPr>
        <w:t>）注水部分迁建工程</w:t>
      </w:r>
    </w:p>
    <w:p w:rsidR="00DC1D60" w:rsidRPr="00E6128A" w:rsidRDefault="00DC1D60" w:rsidP="00E6128A">
      <w:pPr>
        <w:ind w:firstLineChars="150" w:firstLine="420"/>
        <w:jc w:val="left"/>
        <w:rPr>
          <w:rFonts w:ascii="Times New Roman" w:eastAsia="仿宋" w:hAnsi="Times New Roman" w:cs="Times New Roman"/>
          <w:sz w:val="28"/>
        </w:rPr>
      </w:pPr>
      <w:r w:rsidRPr="00E6128A">
        <w:rPr>
          <w:rFonts w:ascii="Times New Roman" w:eastAsia="仿宋" w:hAnsi="Times New Roman" w:cs="Times New Roman" w:hint="eastAsia"/>
          <w:sz w:val="28"/>
        </w:rPr>
        <w:lastRenderedPageBreak/>
        <w:t>①注水支干线</w:t>
      </w:r>
    </w:p>
    <w:p w:rsidR="00DC1D60" w:rsidRPr="00E6128A" w:rsidRDefault="00DC1D60" w:rsidP="00E6128A">
      <w:pPr>
        <w:ind w:firstLineChars="150" w:firstLine="420"/>
        <w:jc w:val="left"/>
        <w:rPr>
          <w:rFonts w:ascii="Times New Roman" w:eastAsia="仿宋" w:hAnsi="Times New Roman" w:cs="Times New Roman"/>
          <w:sz w:val="28"/>
        </w:rPr>
      </w:pPr>
      <w:r w:rsidRPr="00E6128A">
        <w:rPr>
          <w:rFonts w:ascii="Times New Roman" w:eastAsia="仿宋" w:hAnsi="Times New Roman" w:cs="Times New Roman" w:hint="eastAsia"/>
          <w:sz w:val="28"/>
        </w:rPr>
        <w:t>营</w:t>
      </w:r>
      <w:r w:rsidRPr="00E6128A">
        <w:rPr>
          <w:rFonts w:ascii="Times New Roman" w:eastAsia="仿宋" w:hAnsi="Times New Roman" w:cs="Times New Roman" w:hint="eastAsia"/>
          <w:sz w:val="28"/>
        </w:rPr>
        <w:t>17-3</w:t>
      </w:r>
      <w:r w:rsidRPr="00E6128A">
        <w:rPr>
          <w:rFonts w:ascii="Times New Roman" w:eastAsia="仿宋" w:hAnsi="Times New Roman" w:cs="Times New Roman" w:hint="eastAsia"/>
          <w:sz w:val="28"/>
        </w:rPr>
        <w:t>注水支干线迁建长度</w:t>
      </w:r>
      <w:r w:rsidRPr="00E6128A">
        <w:rPr>
          <w:rFonts w:ascii="Times New Roman" w:eastAsia="仿宋" w:hAnsi="Times New Roman" w:cs="Times New Roman" w:hint="eastAsia"/>
          <w:sz w:val="28"/>
        </w:rPr>
        <w:t>332</w:t>
      </w:r>
      <w:r w:rsidRPr="00E6128A">
        <w:rPr>
          <w:rFonts w:ascii="Times New Roman" w:eastAsia="仿宋" w:hAnsi="Times New Roman" w:cs="Times New Roman" w:hint="eastAsia"/>
          <w:sz w:val="28"/>
        </w:rPr>
        <w:t>米，注水支干线迁建一览表见表</w:t>
      </w:r>
      <w:r w:rsidRPr="00E6128A">
        <w:rPr>
          <w:rFonts w:ascii="Times New Roman" w:eastAsia="仿宋" w:hAnsi="Times New Roman" w:cs="Times New Roman" w:hint="eastAsia"/>
          <w:sz w:val="28"/>
        </w:rPr>
        <w:t>2</w:t>
      </w:r>
      <w:r w:rsidRPr="00E6128A">
        <w:rPr>
          <w:rFonts w:ascii="Times New Roman" w:eastAsia="仿宋" w:hAnsi="Times New Roman" w:cs="Times New Roman" w:hint="eastAsia"/>
          <w:sz w:val="28"/>
        </w:rPr>
        <w:t>。</w:t>
      </w:r>
    </w:p>
    <w:p w:rsidR="00DC1D60" w:rsidRDefault="00DC1D60" w:rsidP="00DC1D60">
      <w:pPr>
        <w:jc w:val="center"/>
        <w:rPr>
          <w:rFonts w:ascii="宋体" w:eastAsia="宋体" w:hAnsi="宋体"/>
          <w:color w:val="000000"/>
          <w:szCs w:val="21"/>
        </w:rPr>
      </w:pPr>
      <w:r>
        <w:rPr>
          <w:rFonts w:ascii="宋体" w:eastAsia="宋体" w:hAnsi="宋体" w:hint="eastAsia"/>
          <w:color w:val="000000"/>
          <w:szCs w:val="21"/>
        </w:rPr>
        <w:t>表2 注水支干线迁建一览表</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178"/>
        <w:gridCol w:w="611"/>
        <w:gridCol w:w="1381"/>
        <w:gridCol w:w="1693"/>
        <w:gridCol w:w="2552"/>
      </w:tblGrid>
      <w:tr w:rsidR="00DC1D60" w:rsidTr="00DC1D60">
        <w:trPr>
          <w:trHeight w:val="302"/>
          <w:jc w:val="center"/>
        </w:trPr>
        <w:tc>
          <w:tcPr>
            <w:tcW w:w="19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管线名称</w:t>
            </w:r>
          </w:p>
        </w:tc>
        <w:tc>
          <w:tcPr>
            <w:tcW w:w="11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管径</w:t>
            </w:r>
          </w:p>
        </w:tc>
        <w:tc>
          <w:tcPr>
            <w:tcW w:w="6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材质</w:t>
            </w:r>
          </w:p>
        </w:tc>
        <w:tc>
          <w:tcPr>
            <w:tcW w:w="13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迁建长度（m)</w:t>
            </w:r>
          </w:p>
        </w:tc>
        <w:tc>
          <w:tcPr>
            <w:tcW w:w="1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设计压力（MPa）</w:t>
            </w:r>
          </w:p>
        </w:tc>
        <w:tc>
          <w:tcPr>
            <w:tcW w:w="2552" w:type="dxa"/>
            <w:tcBorders>
              <w:top w:val="single" w:sz="4" w:space="0" w:color="auto"/>
              <w:left w:val="single" w:sz="4" w:space="0" w:color="auto"/>
              <w:bottom w:val="single" w:sz="4" w:space="0" w:color="auto"/>
              <w:right w:val="single" w:sz="4" w:space="0" w:color="auto"/>
            </w:tcBorders>
            <w:vAlign w:val="center"/>
            <w:hideMark/>
          </w:tcPr>
          <w:p w:rsidR="00DC1D60" w:rsidRDefault="00DC1D60">
            <w:pPr>
              <w:spacing w:line="328" w:lineRule="auto"/>
              <w:ind w:firstLineChars="300" w:firstLine="630"/>
              <w:rPr>
                <w:rFonts w:ascii="宋体" w:eastAsia="宋体" w:hAnsi="宋体"/>
                <w:color w:val="000000"/>
                <w:szCs w:val="21"/>
              </w:rPr>
            </w:pPr>
            <w:r>
              <w:rPr>
                <w:rFonts w:ascii="宋体" w:eastAsia="宋体" w:hAnsi="宋体" w:hint="eastAsia"/>
                <w:color w:val="000000"/>
                <w:szCs w:val="21"/>
              </w:rPr>
              <w:t>备 注</w:t>
            </w:r>
          </w:p>
        </w:tc>
      </w:tr>
      <w:tr w:rsidR="00DC1D60" w:rsidTr="00DC1D60">
        <w:trPr>
          <w:trHeight w:val="133"/>
          <w:jc w:val="center"/>
        </w:trPr>
        <w:tc>
          <w:tcPr>
            <w:tcW w:w="197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营17-3注水支干线</w:t>
            </w:r>
          </w:p>
        </w:tc>
        <w:tc>
          <w:tcPr>
            <w:tcW w:w="11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Φ245×18</w:t>
            </w:r>
          </w:p>
        </w:tc>
        <w:tc>
          <w:tcPr>
            <w:tcW w:w="6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20#</w:t>
            </w:r>
          </w:p>
        </w:tc>
        <w:tc>
          <w:tcPr>
            <w:tcW w:w="13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332</w:t>
            </w:r>
          </w:p>
        </w:tc>
        <w:tc>
          <w:tcPr>
            <w:tcW w:w="1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DC1D60" w:rsidRDefault="00DC1D60">
            <w:pPr>
              <w:spacing w:line="328" w:lineRule="auto"/>
              <w:ind w:firstLineChars="300" w:firstLine="630"/>
              <w:rPr>
                <w:rFonts w:ascii="宋体" w:eastAsia="宋体" w:hAnsi="宋体"/>
                <w:color w:val="000000"/>
                <w:szCs w:val="21"/>
              </w:rPr>
            </w:pPr>
            <w:r>
              <w:rPr>
                <w:rFonts w:ascii="宋体" w:eastAsia="宋体" w:hAnsi="宋体" w:hint="eastAsia"/>
                <w:color w:val="000000"/>
                <w:szCs w:val="21"/>
              </w:rPr>
              <w:t>16</w:t>
            </w:r>
          </w:p>
        </w:tc>
        <w:tc>
          <w:tcPr>
            <w:tcW w:w="2552" w:type="dxa"/>
            <w:tcBorders>
              <w:top w:val="single" w:sz="4" w:space="0" w:color="auto"/>
              <w:left w:val="single" w:sz="4" w:space="0" w:color="auto"/>
              <w:bottom w:val="single" w:sz="4" w:space="0" w:color="auto"/>
              <w:right w:val="single" w:sz="4" w:space="0" w:color="auto"/>
            </w:tcBorders>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道路施工时对管线进行保护</w:t>
            </w:r>
          </w:p>
        </w:tc>
      </w:tr>
    </w:tbl>
    <w:p w:rsidR="00DC1D60" w:rsidRPr="00E6128A" w:rsidRDefault="00DC1D60" w:rsidP="00E6128A">
      <w:pPr>
        <w:ind w:firstLineChars="150" w:firstLine="420"/>
        <w:jc w:val="left"/>
        <w:rPr>
          <w:rFonts w:ascii="Times New Roman" w:eastAsia="仿宋" w:hAnsi="Times New Roman" w:cs="Times New Roman"/>
          <w:sz w:val="28"/>
        </w:rPr>
      </w:pPr>
      <w:r w:rsidRPr="00E6128A">
        <w:rPr>
          <w:rFonts w:ascii="Times New Roman" w:eastAsia="仿宋" w:hAnsi="Times New Roman" w:cs="Times New Roman" w:hint="eastAsia"/>
          <w:sz w:val="28"/>
        </w:rPr>
        <w:t>②污水管线</w:t>
      </w:r>
    </w:p>
    <w:p w:rsidR="00DC1D60" w:rsidRPr="00E6128A" w:rsidRDefault="00DC1D60" w:rsidP="00E6128A">
      <w:pPr>
        <w:ind w:firstLineChars="150" w:firstLine="420"/>
        <w:jc w:val="left"/>
        <w:rPr>
          <w:rFonts w:ascii="Times New Roman" w:eastAsia="仿宋" w:hAnsi="Times New Roman" w:cs="Times New Roman"/>
          <w:sz w:val="28"/>
        </w:rPr>
      </w:pPr>
      <w:r w:rsidRPr="00E6128A">
        <w:rPr>
          <w:rFonts w:ascii="Times New Roman" w:eastAsia="仿宋" w:hAnsi="Times New Roman" w:cs="Times New Roman" w:hint="eastAsia"/>
          <w:sz w:val="28"/>
        </w:rPr>
        <w:t>102</w:t>
      </w:r>
      <w:r w:rsidRPr="00E6128A">
        <w:rPr>
          <w:rFonts w:ascii="Times New Roman" w:eastAsia="仿宋" w:hAnsi="Times New Roman" w:cs="Times New Roman" w:hint="eastAsia"/>
          <w:sz w:val="28"/>
        </w:rPr>
        <w:t>站至辛七注污水管线及复线穿越西二路东、西两侧占压段迁建至绿化带内，新建管线长度</w:t>
      </w:r>
      <w:r w:rsidRPr="00E6128A">
        <w:rPr>
          <w:rFonts w:ascii="Times New Roman" w:eastAsia="仿宋" w:hAnsi="Times New Roman" w:cs="Times New Roman" w:hint="eastAsia"/>
          <w:sz w:val="28"/>
        </w:rPr>
        <w:t>300m</w:t>
      </w:r>
      <w:r w:rsidRPr="00E6128A">
        <w:rPr>
          <w:rFonts w:ascii="Times New Roman" w:eastAsia="仿宋" w:hAnsi="Times New Roman" w:cs="Times New Roman" w:hint="eastAsia"/>
          <w:sz w:val="28"/>
        </w:rPr>
        <w:t>。</w:t>
      </w:r>
    </w:p>
    <w:p w:rsidR="00DC1D60" w:rsidRDefault="00DC1D60" w:rsidP="00DC1D60">
      <w:pPr>
        <w:jc w:val="center"/>
        <w:rPr>
          <w:rFonts w:ascii="宋体" w:eastAsia="宋体" w:hAnsi="宋体"/>
          <w:color w:val="000000"/>
          <w:szCs w:val="21"/>
        </w:rPr>
      </w:pPr>
      <w:r>
        <w:rPr>
          <w:rFonts w:ascii="宋体" w:eastAsia="宋体" w:hAnsi="宋体" w:hint="eastAsia"/>
          <w:color w:val="000000"/>
          <w:szCs w:val="21"/>
        </w:rPr>
        <w:t>表3 污水管线迁建方案一览表</w:t>
      </w:r>
    </w:p>
    <w:tbl>
      <w:tblPr>
        <w:tblW w:w="0" w:type="auto"/>
        <w:jc w:val="center"/>
        <w:tblCellMar>
          <w:left w:w="0" w:type="dxa"/>
          <w:right w:w="0" w:type="dxa"/>
        </w:tblCellMar>
        <w:tblLook w:val="04A0" w:firstRow="1" w:lastRow="0" w:firstColumn="1" w:lastColumn="0" w:noHBand="0" w:noVBand="1"/>
      </w:tblPr>
      <w:tblGrid>
        <w:gridCol w:w="743"/>
        <w:gridCol w:w="2906"/>
        <w:gridCol w:w="1316"/>
        <w:gridCol w:w="1352"/>
        <w:gridCol w:w="1979"/>
      </w:tblGrid>
      <w:tr w:rsidR="00DC1D60" w:rsidTr="00DC1D60">
        <w:trPr>
          <w:trHeight w:val="375"/>
          <w:jc w:val="center"/>
        </w:trPr>
        <w:tc>
          <w:tcPr>
            <w:tcW w:w="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序号</w:t>
            </w:r>
          </w:p>
        </w:tc>
        <w:tc>
          <w:tcPr>
            <w:tcW w:w="331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DC1D60" w:rsidRDefault="00DC1D60">
            <w:pPr>
              <w:spacing w:line="328" w:lineRule="auto"/>
              <w:ind w:firstLineChars="200" w:firstLine="420"/>
              <w:jc w:val="center"/>
              <w:rPr>
                <w:rFonts w:ascii="宋体" w:eastAsia="宋体" w:hAnsi="宋体"/>
                <w:color w:val="000000"/>
                <w:szCs w:val="21"/>
              </w:rPr>
            </w:pPr>
            <w:r>
              <w:rPr>
                <w:rFonts w:ascii="宋体" w:eastAsia="宋体" w:hAnsi="宋体" w:hint="eastAsia"/>
                <w:color w:val="000000"/>
                <w:szCs w:val="21"/>
              </w:rPr>
              <w:t>管线名称</w:t>
            </w:r>
          </w:p>
        </w:tc>
        <w:tc>
          <w:tcPr>
            <w:tcW w:w="138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管径</w:t>
            </w:r>
          </w:p>
        </w:tc>
        <w:tc>
          <w:tcPr>
            <w:tcW w:w="146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迁建长度（m）</w:t>
            </w:r>
          </w:p>
        </w:tc>
        <w:tc>
          <w:tcPr>
            <w:tcW w:w="2255" w:type="dxa"/>
            <w:tcBorders>
              <w:top w:val="single" w:sz="4" w:space="0" w:color="000000"/>
              <w:left w:val="single" w:sz="4" w:space="0" w:color="000000"/>
              <w:bottom w:val="single" w:sz="4" w:space="0" w:color="000000"/>
              <w:right w:val="single" w:sz="4" w:space="0" w:color="000000"/>
            </w:tcBorders>
            <w:hideMark/>
          </w:tcPr>
          <w:p w:rsidR="00DC1D60" w:rsidRDefault="00DC1D60">
            <w:pPr>
              <w:spacing w:line="328" w:lineRule="auto"/>
              <w:jc w:val="center"/>
              <w:rPr>
                <w:rFonts w:ascii="宋体" w:eastAsia="宋体" w:hAnsi="宋体"/>
                <w:color w:val="000000"/>
                <w:szCs w:val="21"/>
              </w:rPr>
            </w:pPr>
            <w:r>
              <w:rPr>
                <w:rFonts w:ascii="宋体" w:eastAsia="宋体" w:hAnsi="宋体" w:hint="eastAsia"/>
                <w:color w:val="000000"/>
                <w:szCs w:val="21"/>
              </w:rPr>
              <w:t>管线防腐</w:t>
            </w:r>
          </w:p>
        </w:tc>
      </w:tr>
      <w:tr w:rsidR="00DC1D60" w:rsidTr="00DC1D60">
        <w:trPr>
          <w:trHeight w:val="375"/>
          <w:jc w:val="center"/>
        </w:trPr>
        <w:tc>
          <w:tcPr>
            <w:tcW w:w="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1</w:t>
            </w:r>
          </w:p>
        </w:tc>
        <w:tc>
          <w:tcPr>
            <w:tcW w:w="331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102站至辛七注污水管线</w:t>
            </w:r>
          </w:p>
        </w:tc>
        <w:tc>
          <w:tcPr>
            <w:tcW w:w="138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DN500</w:t>
            </w:r>
          </w:p>
        </w:tc>
        <w:tc>
          <w:tcPr>
            <w:tcW w:w="146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150</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rsidR="00DC1D60" w:rsidRDefault="00DC1D60">
            <w:pPr>
              <w:spacing w:line="328" w:lineRule="auto"/>
              <w:rPr>
                <w:rFonts w:ascii="宋体" w:eastAsia="宋体" w:hAnsi="宋体"/>
                <w:color w:val="000000"/>
                <w:szCs w:val="21"/>
              </w:rPr>
            </w:pPr>
            <w:r>
              <w:rPr>
                <w:rFonts w:ascii="宋体" w:eastAsia="宋体" w:hAnsi="宋体" w:hint="eastAsia"/>
                <w:color w:val="000000"/>
                <w:szCs w:val="21"/>
              </w:rPr>
              <w:t>外防腐采用2PE，内防腐采用环氧玻璃鳞片。</w:t>
            </w:r>
          </w:p>
        </w:tc>
      </w:tr>
      <w:tr w:rsidR="00DC1D60" w:rsidTr="00DC1D60">
        <w:trPr>
          <w:trHeight w:val="375"/>
          <w:jc w:val="center"/>
        </w:trPr>
        <w:tc>
          <w:tcPr>
            <w:tcW w:w="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2</w:t>
            </w:r>
          </w:p>
        </w:tc>
        <w:tc>
          <w:tcPr>
            <w:tcW w:w="331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102站至辛七注污水复线</w:t>
            </w:r>
          </w:p>
        </w:tc>
        <w:tc>
          <w:tcPr>
            <w:tcW w:w="138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spacing w:line="328" w:lineRule="auto"/>
              <w:ind w:firstLineChars="200" w:firstLine="420"/>
              <w:rPr>
                <w:rFonts w:ascii="宋体" w:eastAsia="宋体" w:hAnsi="宋体"/>
                <w:color w:val="000000"/>
                <w:szCs w:val="21"/>
              </w:rPr>
            </w:pPr>
            <w:r>
              <w:rPr>
                <w:rFonts w:ascii="宋体" w:eastAsia="宋体" w:hAnsi="宋体" w:hint="eastAsia"/>
                <w:color w:val="000000"/>
                <w:szCs w:val="21"/>
              </w:rPr>
              <w:t>DN500</w:t>
            </w:r>
          </w:p>
        </w:tc>
        <w:tc>
          <w:tcPr>
            <w:tcW w:w="146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DC1D60" w:rsidRDefault="00DC1D60">
            <w:pPr>
              <w:pStyle w:val="1"/>
              <w:adjustRightInd w:val="0"/>
              <w:snapToGrid w:val="0"/>
              <w:spacing w:line="328" w:lineRule="auto"/>
              <w:rPr>
                <w:rFonts w:ascii="宋体" w:hAnsi="宋体"/>
                <w:color w:val="000000"/>
                <w:kern w:val="0"/>
                <w:szCs w:val="21"/>
              </w:rPr>
            </w:pPr>
            <w:r>
              <w:rPr>
                <w:rFonts w:ascii="宋体" w:hAnsi="宋体" w:hint="eastAsia"/>
                <w:color w:val="000000"/>
                <w:kern w:val="0"/>
                <w:szCs w:val="21"/>
              </w:rPr>
              <w:t>150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1D60" w:rsidRDefault="00DC1D60">
            <w:pPr>
              <w:rPr>
                <w:rFonts w:ascii="宋体" w:eastAsia="宋体" w:hAnsi="宋体"/>
                <w:color w:val="000000"/>
                <w:szCs w:val="21"/>
              </w:rPr>
            </w:pPr>
          </w:p>
        </w:tc>
      </w:tr>
    </w:tbl>
    <w:p w:rsidR="00DC1D60" w:rsidRPr="00E6128A" w:rsidRDefault="00DC1D60" w:rsidP="00E6128A">
      <w:pPr>
        <w:ind w:firstLineChars="150" w:firstLine="420"/>
        <w:jc w:val="left"/>
        <w:rPr>
          <w:rFonts w:ascii="Times New Roman" w:eastAsia="仿宋" w:hAnsi="Times New Roman" w:cs="Times New Roman"/>
          <w:sz w:val="28"/>
        </w:rPr>
      </w:pPr>
      <w:r w:rsidRPr="00E6128A">
        <w:rPr>
          <w:rFonts w:ascii="Times New Roman" w:eastAsia="仿宋" w:hAnsi="Times New Roman" w:cs="Times New Roman" w:hint="eastAsia"/>
          <w:sz w:val="28"/>
        </w:rPr>
        <w:t>2</w:t>
      </w:r>
      <w:r w:rsidRPr="00E6128A">
        <w:rPr>
          <w:rFonts w:ascii="Times New Roman" w:eastAsia="仿宋" w:hAnsi="Times New Roman" w:cs="Times New Roman" w:hint="eastAsia"/>
          <w:sz w:val="28"/>
        </w:rPr>
        <w:t>、项目变更情况：</w:t>
      </w:r>
    </w:p>
    <w:p w:rsidR="00DC1D60" w:rsidRPr="00E6128A" w:rsidRDefault="00DC1D60" w:rsidP="00E6128A">
      <w:pPr>
        <w:ind w:firstLineChars="150" w:firstLine="420"/>
        <w:jc w:val="left"/>
        <w:rPr>
          <w:rFonts w:ascii="Times New Roman" w:eastAsia="仿宋" w:hAnsi="Times New Roman" w:cs="Times New Roman"/>
          <w:sz w:val="28"/>
        </w:rPr>
      </w:pPr>
      <w:r w:rsidRPr="00E6128A">
        <w:rPr>
          <w:rFonts w:ascii="Times New Roman" w:eastAsia="仿宋" w:hAnsi="Times New Roman" w:cs="Times New Roman" w:hint="eastAsia"/>
          <w:sz w:val="28"/>
        </w:rPr>
        <w:t>环评中内容：“根据西二路两侧已建管线路由，本次共迁建已建油气管线</w:t>
      </w:r>
      <w:r w:rsidRPr="00E6128A">
        <w:rPr>
          <w:rFonts w:ascii="Times New Roman" w:eastAsia="仿宋" w:hAnsi="Times New Roman" w:cs="Times New Roman" w:hint="eastAsia"/>
          <w:sz w:val="28"/>
        </w:rPr>
        <w:t>13</w:t>
      </w:r>
      <w:r w:rsidRPr="00E6128A">
        <w:rPr>
          <w:rFonts w:ascii="Times New Roman" w:eastAsia="仿宋" w:hAnsi="Times New Roman" w:cs="Times New Roman" w:hint="eastAsia"/>
          <w:sz w:val="28"/>
        </w:rPr>
        <w:t>条，其中</w:t>
      </w:r>
      <w:r w:rsidRPr="00E6128A">
        <w:rPr>
          <w:rFonts w:ascii="Times New Roman" w:eastAsia="仿宋" w:hAnsi="Times New Roman" w:cs="Times New Roman" w:hint="eastAsia"/>
          <w:sz w:val="28"/>
        </w:rPr>
        <w:t>4</w:t>
      </w:r>
      <w:r w:rsidRPr="00E6128A">
        <w:rPr>
          <w:rFonts w:ascii="Times New Roman" w:eastAsia="仿宋" w:hAnsi="Times New Roman" w:cs="Times New Roman" w:hint="eastAsia"/>
          <w:sz w:val="28"/>
        </w:rPr>
        <w:t>条穿越北三路北测</w:t>
      </w:r>
      <w:r w:rsidRPr="00E6128A">
        <w:rPr>
          <w:rFonts w:ascii="Times New Roman" w:eastAsia="仿宋" w:hAnsi="Times New Roman" w:cs="Times New Roman" w:hint="eastAsia"/>
          <w:sz w:val="28"/>
        </w:rPr>
        <w:t>100m</w:t>
      </w:r>
      <w:r w:rsidRPr="00E6128A">
        <w:rPr>
          <w:rFonts w:ascii="Times New Roman" w:eastAsia="仿宋" w:hAnsi="Times New Roman" w:cs="Times New Roman" w:hint="eastAsia"/>
          <w:sz w:val="28"/>
        </w:rPr>
        <w:t>处涵洞，本次设计迁建管线沿原过路涵洞迁建。防腐保温方式为外防</w:t>
      </w:r>
      <w:r w:rsidRPr="00E6128A">
        <w:rPr>
          <w:rFonts w:ascii="Times New Roman" w:eastAsia="仿宋" w:hAnsi="Times New Roman" w:cs="Times New Roman" w:hint="eastAsia"/>
          <w:sz w:val="28"/>
        </w:rPr>
        <w:t>2PE</w:t>
      </w:r>
      <w:r w:rsidRPr="00E6128A">
        <w:rPr>
          <w:rFonts w:ascii="Times New Roman" w:eastAsia="仿宋" w:hAnsi="Times New Roman" w:cs="Times New Roman" w:hint="eastAsia"/>
          <w:sz w:val="28"/>
        </w:rPr>
        <w:t>＋泡沫黄夹克保温，内防环氧玻璃鳞片。新建两座五井式集油阀组。单井注水管线迁建两条共</w:t>
      </w:r>
      <w:r w:rsidRPr="00E6128A">
        <w:rPr>
          <w:rFonts w:ascii="Times New Roman" w:eastAsia="仿宋" w:hAnsi="Times New Roman" w:cs="Times New Roman" w:hint="eastAsia"/>
          <w:sz w:val="28"/>
        </w:rPr>
        <w:t>500m</w:t>
      </w:r>
      <w:r w:rsidRPr="00E6128A">
        <w:rPr>
          <w:rFonts w:ascii="Times New Roman" w:eastAsia="仿宋" w:hAnsi="Times New Roman" w:cs="Times New Roman" w:hint="eastAsia"/>
          <w:sz w:val="28"/>
        </w:rPr>
        <w:t>，注水支干线迁建</w:t>
      </w:r>
      <w:r w:rsidRPr="00E6128A">
        <w:rPr>
          <w:rFonts w:ascii="Times New Roman" w:eastAsia="仿宋" w:hAnsi="Times New Roman" w:cs="Times New Roman" w:hint="eastAsia"/>
          <w:sz w:val="28"/>
        </w:rPr>
        <w:t>580</w:t>
      </w:r>
      <w:r w:rsidRPr="00E6128A">
        <w:rPr>
          <w:rFonts w:ascii="Times New Roman" w:eastAsia="仿宋" w:hAnsi="Times New Roman" w:cs="Times New Roman" w:hint="eastAsia"/>
          <w:sz w:val="28"/>
        </w:rPr>
        <w:t>米，实际建设过程中，考虑挖开现场的实际情况和资金等因素部分关管线未建设，故实际建设量少于环评设计中的内容，变更后建设内容为：“集油管线共两条，分别为采油</w:t>
      </w:r>
      <w:r w:rsidRPr="00E6128A">
        <w:rPr>
          <w:rFonts w:ascii="Times New Roman" w:eastAsia="仿宋" w:hAnsi="Times New Roman" w:cs="Times New Roman" w:hint="eastAsia"/>
          <w:sz w:val="28"/>
        </w:rPr>
        <w:t>34</w:t>
      </w:r>
      <w:r w:rsidRPr="00E6128A">
        <w:rPr>
          <w:rFonts w:ascii="Times New Roman" w:eastAsia="仿宋" w:hAnsi="Times New Roman" w:cs="Times New Roman" w:hint="eastAsia"/>
          <w:sz w:val="28"/>
        </w:rPr>
        <w:t>队集油干线新建长度</w:t>
      </w:r>
      <w:r w:rsidRPr="00E6128A">
        <w:rPr>
          <w:rFonts w:ascii="Times New Roman" w:eastAsia="仿宋" w:hAnsi="Times New Roman" w:cs="Times New Roman" w:hint="eastAsia"/>
          <w:sz w:val="28"/>
        </w:rPr>
        <w:t>1546</w:t>
      </w:r>
      <w:r w:rsidRPr="00E6128A">
        <w:rPr>
          <w:rFonts w:ascii="Times New Roman" w:eastAsia="仿宋" w:hAnsi="Times New Roman" w:cs="Times New Roman" w:hint="eastAsia"/>
          <w:sz w:val="28"/>
        </w:rPr>
        <w:t>米，采油</w:t>
      </w:r>
      <w:r w:rsidRPr="00E6128A">
        <w:rPr>
          <w:rFonts w:ascii="Times New Roman" w:eastAsia="仿宋" w:hAnsi="Times New Roman" w:cs="Times New Roman" w:hint="eastAsia"/>
          <w:sz w:val="28"/>
        </w:rPr>
        <w:t>20</w:t>
      </w:r>
      <w:r w:rsidRPr="00E6128A">
        <w:rPr>
          <w:rFonts w:ascii="Times New Roman" w:eastAsia="仿宋" w:hAnsi="Times New Roman" w:cs="Times New Roman" w:hint="eastAsia"/>
          <w:sz w:val="28"/>
        </w:rPr>
        <w:t>队集油干线新建管线</w:t>
      </w:r>
      <w:r w:rsidRPr="00E6128A">
        <w:rPr>
          <w:rFonts w:ascii="Times New Roman" w:eastAsia="仿宋" w:hAnsi="Times New Roman" w:cs="Times New Roman" w:hint="eastAsia"/>
          <w:sz w:val="28"/>
        </w:rPr>
        <w:t>315</w:t>
      </w:r>
      <w:r w:rsidRPr="00E6128A">
        <w:rPr>
          <w:rFonts w:ascii="Times New Roman" w:eastAsia="仿宋" w:hAnsi="Times New Roman" w:cs="Times New Roman" w:hint="eastAsia"/>
          <w:sz w:val="28"/>
        </w:rPr>
        <w:t>米。防腐保温方式分别为外防</w:t>
      </w:r>
      <w:r w:rsidRPr="00E6128A">
        <w:rPr>
          <w:rFonts w:ascii="Times New Roman" w:eastAsia="仿宋" w:hAnsi="Times New Roman" w:cs="Times New Roman" w:hint="eastAsia"/>
          <w:sz w:val="28"/>
        </w:rPr>
        <w:t>3PE</w:t>
      </w:r>
      <w:r w:rsidRPr="00E6128A">
        <w:rPr>
          <w:rFonts w:ascii="Times New Roman" w:eastAsia="仿宋" w:hAnsi="Times New Roman" w:cs="Times New Roman" w:hint="eastAsia"/>
          <w:sz w:val="28"/>
        </w:rPr>
        <w:t>聚氨酯泡沫夹克</w:t>
      </w:r>
      <w:r w:rsidRPr="00E6128A">
        <w:rPr>
          <w:rFonts w:ascii="Times New Roman" w:eastAsia="仿宋" w:hAnsi="Times New Roman" w:cs="Times New Roman" w:hint="eastAsia"/>
          <w:sz w:val="28"/>
        </w:rPr>
        <w:lastRenderedPageBreak/>
        <w:t>保温、玻璃鳞片内防和外防</w:t>
      </w:r>
      <w:r w:rsidRPr="00E6128A">
        <w:rPr>
          <w:rFonts w:ascii="Times New Roman" w:eastAsia="仿宋" w:hAnsi="Times New Roman" w:cs="Times New Roman" w:hint="eastAsia"/>
          <w:sz w:val="28"/>
        </w:rPr>
        <w:t>2PE</w:t>
      </w:r>
      <w:r w:rsidRPr="00E6128A">
        <w:rPr>
          <w:rFonts w:ascii="Times New Roman" w:eastAsia="仿宋" w:hAnsi="Times New Roman" w:cs="Times New Roman" w:hint="eastAsia"/>
          <w:sz w:val="28"/>
        </w:rPr>
        <w:t>、高分子内防。新建一座七井式集油阀组和一座七井式玉鹰阀组。</w:t>
      </w:r>
      <w:r w:rsidRPr="00E6128A">
        <w:rPr>
          <w:rFonts w:ascii="Times New Roman" w:eastAsia="仿宋" w:hAnsi="Times New Roman" w:cs="Times New Roman" w:hint="eastAsia"/>
          <w:sz w:val="28"/>
        </w:rPr>
        <w:t>102</w:t>
      </w:r>
      <w:r w:rsidRPr="00E6128A">
        <w:rPr>
          <w:rFonts w:ascii="Times New Roman" w:eastAsia="仿宋" w:hAnsi="Times New Roman" w:cs="Times New Roman" w:hint="eastAsia"/>
          <w:sz w:val="28"/>
        </w:rPr>
        <w:t>站至辛七注污水管线和复线新建</w:t>
      </w:r>
      <w:r w:rsidRPr="00E6128A">
        <w:rPr>
          <w:rFonts w:ascii="Times New Roman" w:eastAsia="仿宋" w:hAnsi="Times New Roman" w:cs="Times New Roman" w:hint="eastAsia"/>
          <w:sz w:val="28"/>
        </w:rPr>
        <w:t>300</w:t>
      </w:r>
      <w:r w:rsidRPr="00E6128A">
        <w:rPr>
          <w:rFonts w:ascii="Times New Roman" w:eastAsia="仿宋" w:hAnsi="Times New Roman" w:cs="Times New Roman" w:hint="eastAsia"/>
          <w:sz w:val="28"/>
        </w:rPr>
        <w:t>米。注水支干线迁建</w:t>
      </w:r>
      <w:r w:rsidRPr="00E6128A">
        <w:rPr>
          <w:rFonts w:ascii="Times New Roman" w:eastAsia="仿宋" w:hAnsi="Times New Roman" w:cs="Times New Roman" w:hint="eastAsia"/>
          <w:sz w:val="28"/>
        </w:rPr>
        <w:t>332</w:t>
      </w:r>
      <w:r w:rsidRPr="00E6128A">
        <w:rPr>
          <w:rFonts w:ascii="Times New Roman" w:eastAsia="仿宋" w:hAnsi="Times New Roman" w:cs="Times New Roman" w:hint="eastAsia"/>
          <w:sz w:val="28"/>
        </w:rPr>
        <w:t>米。未迁建单井注水管线。”项目变更后敏感目标无变化。根据《关于印发环评管理中部分行业建设项目重大变动清单的通知》环办</w:t>
      </w:r>
      <w:r w:rsidRPr="00E6128A">
        <w:rPr>
          <w:rFonts w:ascii="Times New Roman" w:eastAsia="仿宋" w:hAnsi="Times New Roman" w:cs="Times New Roman" w:hint="eastAsia"/>
          <w:sz w:val="28"/>
        </w:rPr>
        <w:t>[2015]52</w:t>
      </w:r>
      <w:r w:rsidRPr="00E6128A">
        <w:rPr>
          <w:rFonts w:ascii="Times New Roman" w:eastAsia="仿宋" w:hAnsi="Times New Roman" w:cs="Times New Roman" w:hint="eastAsia"/>
          <w:sz w:val="28"/>
        </w:rPr>
        <w:t>号文附件清单，项目无重大变更。</w:t>
      </w:r>
    </w:p>
    <w:p w:rsidR="00E6128A" w:rsidRPr="00E6128A" w:rsidRDefault="001A7B6E" w:rsidP="00861F4D">
      <w:pPr>
        <w:spacing w:line="360" w:lineRule="auto"/>
        <w:rPr>
          <w:rFonts w:ascii="Times New Roman" w:eastAsia="仿宋" w:hAnsi="Times New Roman" w:cs="Times New Roman"/>
          <w:sz w:val="28"/>
        </w:rPr>
      </w:pPr>
      <w:r>
        <w:rPr>
          <w:rFonts w:ascii="Times New Roman" w:eastAsia="仿宋" w:hAnsi="Times New Roman" w:cs="Times New Roman" w:hint="eastAsia"/>
          <w:sz w:val="28"/>
        </w:rPr>
        <w:t>二</w:t>
      </w:r>
      <w:r w:rsidR="00861F4D">
        <w:rPr>
          <w:rFonts w:ascii="Times New Roman" w:eastAsia="仿宋" w:hAnsi="Times New Roman" w:cs="Times New Roman" w:hint="eastAsia"/>
          <w:sz w:val="28"/>
        </w:rPr>
        <w:t>、</w:t>
      </w:r>
      <w:r w:rsidR="00E6128A" w:rsidRPr="00E6128A">
        <w:rPr>
          <w:rFonts w:ascii="Times New Roman" w:eastAsia="仿宋" w:hAnsi="Times New Roman" w:cs="Times New Roman" w:hint="eastAsia"/>
          <w:sz w:val="28"/>
        </w:rPr>
        <w:t>敏感目标调查</w:t>
      </w:r>
    </w:p>
    <w:p w:rsidR="00E6128A" w:rsidRPr="00E6128A" w:rsidRDefault="00E6128A" w:rsidP="00E6128A">
      <w:pPr>
        <w:spacing w:line="360" w:lineRule="auto"/>
        <w:ind w:firstLineChars="200" w:firstLine="560"/>
        <w:rPr>
          <w:rFonts w:ascii="Times New Roman" w:eastAsia="仿宋" w:hAnsi="Times New Roman" w:cs="Times New Roman"/>
          <w:sz w:val="28"/>
        </w:rPr>
      </w:pPr>
      <w:r w:rsidRPr="00E6128A">
        <w:rPr>
          <w:rFonts w:ascii="Times New Roman" w:eastAsia="仿宋" w:hAnsi="Times New Roman" w:cs="Times New Roman" w:hint="eastAsia"/>
          <w:sz w:val="28"/>
        </w:rPr>
        <w:t>本项目周围主要环境保护目标见下表。</w:t>
      </w:r>
    </w:p>
    <w:p w:rsidR="00E6128A" w:rsidRDefault="00E6128A" w:rsidP="00E6128A">
      <w:pPr>
        <w:spacing w:line="360" w:lineRule="auto"/>
        <w:ind w:firstLineChars="200" w:firstLine="420"/>
        <w:jc w:val="center"/>
        <w:rPr>
          <w:rFonts w:ascii="宋体" w:eastAsia="宋体" w:hAnsi="宋体"/>
          <w:color w:val="000000"/>
          <w:szCs w:val="21"/>
        </w:rPr>
      </w:pPr>
      <w:r>
        <w:rPr>
          <w:rFonts w:ascii="宋体" w:eastAsia="宋体" w:hAnsi="宋体" w:hint="eastAsia"/>
          <w:color w:val="000000"/>
          <w:szCs w:val="21"/>
        </w:rPr>
        <w:t>表</w:t>
      </w:r>
      <w:r>
        <w:rPr>
          <w:rFonts w:ascii="宋体" w:eastAsia="宋体" w:hAnsi="宋体"/>
          <w:color w:val="000000"/>
          <w:szCs w:val="21"/>
        </w:rPr>
        <w:t>4</w:t>
      </w:r>
      <w:r>
        <w:rPr>
          <w:rFonts w:ascii="宋体" w:eastAsia="宋体" w:hAnsi="宋体" w:hint="eastAsia"/>
          <w:color w:val="000000"/>
          <w:szCs w:val="21"/>
        </w:rPr>
        <w:t xml:space="preserve"> 主要环境保护目标</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968"/>
        <w:gridCol w:w="1133"/>
        <w:gridCol w:w="1856"/>
      </w:tblGrid>
      <w:tr w:rsidR="00E6128A" w:rsidTr="00E6128A">
        <w:trPr>
          <w:trHeight w:val="393"/>
          <w:jc w:val="center"/>
        </w:trPr>
        <w:tc>
          <w:tcPr>
            <w:tcW w:w="989"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项目</w:t>
            </w:r>
          </w:p>
        </w:tc>
        <w:tc>
          <w:tcPr>
            <w:tcW w:w="159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保护目标</w:t>
            </w:r>
          </w:p>
        </w:tc>
        <w:tc>
          <w:tcPr>
            <w:tcW w:w="917"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相对方位</w:t>
            </w:r>
          </w:p>
        </w:tc>
        <w:tc>
          <w:tcPr>
            <w:tcW w:w="150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距离（m）</w:t>
            </w:r>
          </w:p>
        </w:tc>
      </w:tr>
      <w:tr w:rsidR="00E6128A" w:rsidTr="00E6128A">
        <w:trPr>
          <w:trHeight w:val="540"/>
          <w:jc w:val="center"/>
        </w:trPr>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环境空气</w:t>
            </w:r>
          </w:p>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声环境</w:t>
            </w:r>
          </w:p>
        </w:tc>
        <w:tc>
          <w:tcPr>
            <w:tcW w:w="159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jc w:val="center"/>
              <w:rPr>
                <w:rFonts w:ascii="宋体" w:eastAsia="宋体" w:hAnsi="宋体"/>
                <w:color w:val="000000"/>
                <w:szCs w:val="21"/>
              </w:rPr>
            </w:pPr>
            <w:r>
              <w:rPr>
                <w:rFonts w:ascii="宋体" w:eastAsia="宋体" w:hAnsi="宋体" w:hint="eastAsia"/>
                <w:color w:val="000000"/>
                <w:szCs w:val="21"/>
              </w:rPr>
              <w:t>北李屋村</w:t>
            </w:r>
          </w:p>
        </w:tc>
        <w:tc>
          <w:tcPr>
            <w:tcW w:w="917" w:type="pct"/>
            <w:tcBorders>
              <w:top w:val="single" w:sz="4" w:space="0" w:color="auto"/>
              <w:left w:val="single" w:sz="4" w:space="0" w:color="auto"/>
              <w:bottom w:val="single" w:sz="4" w:space="0" w:color="auto"/>
              <w:right w:val="single" w:sz="4" w:space="0" w:color="auto"/>
            </w:tcBorders>
            <w:noWrap/>
            <w:vAlign w:val="center"/>
            <w:hideMark/>
          </w:tcPr>
          <w:p w:rsidR="00E6128A" w:rsidRDefault="00E6128A">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E</w:t>
            </w:r>
          </w:p>
        </w:tc>
        <w:tc>
          <w:tcPr>
            <w:tcW w:w="150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jc w:val="center"/>
              <w:rPr>
                <w:rFonts w:ascii="宋体" w:eastAsia="宋体" w:hAnsi="宋体"/>
                <w:color w:val="000000"/>
                <w:szCs w:val="21"/>
              </w:rPr>
            </w:pPr>
            <w:r>
              <w:rPr>
                <w:rFonts w:ascii="宋体" w:eastAsia="宋体" w:hAnsi="宋体" w:hint="eastAsia"/>
                <w:color w:val="000000"/>
                <w:szCs w:val="21"/>
              </w:rPr>
              <w:t>740</w:t>
            </w:r>
          </w:p>
        </w:tc>
      </w:tr>
      <w:tr w:rsidR="00E6128A" w:rsidTr="00E6128A">
        <w:trPr>
          <w:trHeight w:val="540"/>
          <w:jc w:val="center"/>
        </w:trPr>
        <w:tc>
          <w:tcPr>
            <w:tcW w:w="1222" w:type="dxa"/>
            <w:vMerge/>
            <w:tcBorders>
              <w:top w:val="single" w:sz="4" w:space="0" w:color="auto"/>
              <w:left w:val="single" w:sz="4" w:space="0" w:color="auto"/>
              <w:bottom w:val="single" w:sz="4" w:space="0" w:color="auto"/>
              <w:right w:val="single" w:sz="4" w:space="0" w:color="auto"/>
            </w:tcBorders>
            <w:vAlign w:val="center"/>
            <w:hideMark/>
          </w:tcPr>
          <w:p w:rsidR="00E6128A" w:rsidRDefault="00E6128A">
            <w:pPr>
              <w:rPr>
                <w:rFonts w:ascii="宋体" w:eastAsia="宋体" w:hAnsi="宋体"/>
                <w:color w:val="000000"/>
                <w:szCs w:val="21"/>
              </w:rPr>
            </w:pPr>
          </w:p>
        </w:tc>
        <w:tc>
          <w:tcPr>
            <w:tcW w:w="159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jc w:val="center"/>
              <w:rPr>
                <w:rFonts w:ascii="宋体" w:eastAsia="宋体" w:hAnsi="宋体"/>
                <w:color w:val="000000"/>
                <w:szCs w:val="21"/>
              </w:rPr>
            </w:pPr>
            <w:r>
              <w:rPr>
                <w:rFonts w:ascii="宋体" w:eastAsia="宋体" w:hAnsi="宋体" w:hint="eastAsia"/>
                <w:color w:val="000000"/>
                <w:szCs w:val="21"/>
              </w:rPr>
              <w:t>东营村</w:t>
            </w:r>
          </w:p>
        </w:tc>
        <w:tc>
          <w:tcPr>
            <w:tcW w:w="917"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W</w:t>
            </w:r>
          </w:p>
        </w:tc>
        <w:tc>
          <w:tcPr>
            <w:tcW w:w="150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jc w:val="center"/>
              <w:rPr>
                <w:rFonts w:ascii="宋体" w:eastAsia="宋体" w:hAnsi="宋体"/>
                <w:color w:val="000000"/>
                <w:szCs w:val="21"/>
              </w:rPr>
            </w:pPr>
            <w:r>
              <w:rPr>
                <w:rFonts w:ascii="宋体" w:eastAsia="宋体" w:hAnsi="宋体" w:hint="eastAsia"/>
                <w:color w:val="000000"/>
                <w:szCs w:val="21"/>
              </w:rPr>
              <w:t>330</w:t>
            </w:r>
          </w:p>
        </w:tc>
      </w:tr>
      <w:tr w:rsidR="00E6128A" w:rsidTr="00E6128A">
        <w:trPr>
          <w:trHeight w:val="540"/>
          <w:jc w:val="center"/>
        </w:trPr>
        <w:tc>
          <w:tcPr>
            <w:tcW w:w="989"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土壤环境</w:t>
            </w:r>
          </w:p>
        </w:tc>
        <w:tc>
          <w:tcPr>
            <w:tcW w:w="159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jc w:val="center"/>
              <w:rPr>
                <w:rFonts w:ascii="宋体" w:eastAsia="宋体" w:hAnsi="宋体"/>
                <w:color w:val="000000"/>
                <w:szCs w:val="21"/>
              </w:rPr>
            </w:pPr>
            <w:r>
              <w:rPr>
                <w:rFonts w:ascii="宋体" w:eastAsia="宋体" w:hAnsi="宋体" w:hint="eastAsia"/>
                <w:color w:val="000000"/>
                <w:szCs w:val="21"/>
              </w:rPr>
              <w:t>管线沿途土壤环境</w:t>
            </w:r>
          </w:p>
        </w:tc>
        <w:tc>
          <w:tcPr>
            <w:tcW w:w="917"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p>
        </w:tc>
        <w:tc>
          <w:tcPr>
            <w:tcW w:w="1502" w:type="pct"/>
            <w:tcBorders>
              <w:top w:val="single" w:sz="4" w:space="0" w:color="auto"/>
              <w:left w:val="single" w:sz="4" w:space="0" w:color="auto"/>
              <w:bottom w:val="single" w:sz="4" w:space="0" w:color="auto"/>
              <w:right w:val="single" w:sz="4" w:space="0" w:color="auto"/>
            </w:tcBorders>
            <w:vAlign w:val="center"/>
          </w:tcPr>
          <w:p w:rsidR="00E6128A" w:rsidRDefault="00E6128A">
            <w:pPr>
              <w:spacing w:line="360" w:lineRule="auto"/>
              <w:jc w:val="center"/>
              <w:rPr>
                <w:rFonts w:ascii="宋体" w:eastAsia="宋体" w:hAnsi="宋体"/>
                <w:color w:val="000000"/>
                <w:szCs w:val="21"/>
              </w:rPr>
            </w:pPr>
          </w:p>
        </w:tc>
      </w:tr>
      <w:tr w:rsidR="00E6128A" w:rsidTr="00E6128A">
        <w:trPr>
          <w:trHeight w:val="357"/>
          <w:jc w:val="center"/>
        </w:trPr>
        <w:tc>
          <w:tcPr>
            <w:tcW w:w="989"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rPr>
                <w:rFonts w:ascii="宋体" w:eastAsia="宋体" w:hAnsi="宋体"/>
                <w:color w:val="000000"/>
                <w:szCs w:val="21"/>
              </w:rPr>
            </w:pPr>
            <w:r>
              <w:rPr>
                <w:rFonts w:ascii="宋体" w:eastAsia="宋体" w:hAnsi="宋体" w:hint="eastAsia"/>
                <w:color w:val="000000"/>
                <w:szCs w:val="21"/>
              </w:rPr>
              <w:t>地表水</w:t>
            </w:r>
          </w:p>
        </w:tc>
        <w:tc>
          <w:tcPr>
            <w:tcW w:w="159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jc w:val="center"/>
              <w:rPr>
                <w:rFonts w:ascii="宋体" w:eastAsia="宋体" w:hAnsi="宋体"/>
                <w:color w:val="000000"/>
                <w:szCs w:val="21"/>
              </w:rPr>
            </w:pPr>
            <w:r>
              <w:rPr>
                <w:rFonts w:ascii="宋体" w:eastAsia="宋体" w:hAnsi="宋体" w:hint="eastAsia"/>
                <w:color w:val="000000"/>
                <w:szCs w:val="21"/>
              </w:rPr>
              <w:t>六干渠、六干排</w:t>
            </w:r>
          </w:p>
        </w:tc>
        <w:tc>
          <w:tcPr>
            <w:tcW w:w="917"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N</w:t>
            </w:r>
          </w:p>
        </w:tc>
        <w:tc>
          <w:tcPr>
            <w:tcW w:w="1502" w:type="pct"/>
            <w:tcBorders>
              <w:top w:val="single" w:sz="4" w:space="0" w:color="auto"/>
              <w:left w:val="single" w:sz="4" w:space="0" w:color="auto"/>
              <w:bottom w:val="single" w:sz="4" w:space="0" w:color="auto"/>
              <w:right w:val="single" w:sz="4" w:space="0" w:color="auto"/>
            </w:tcBorders>
            <w:vAlign w:val="center"/>
            <w:hideMark/>
          </w:tcPr>
          <w:p w:rsidR="00E6128A" w:rsidRDefault="00E6128A">
            <w:pPr>
              <w:spacing w:line="360" w:lineRule="auto"/>
              <w:jc w:val="center"/>
              <w:rPr>
                <w:rFonts w:ascii="宋体" w:eastAsia="宋体" w:hAnsi="宋体"/>
                <w:color w:val="000000"/>
                <w:szCs w:val="21"/>
              </w:rPr>
            </w:pPr>
            <w:r>
              <w:rPr>
                <w:rFonts w:ascii="宋体" w:eastAsia="宋体" w:hAnsi="宋体" w:hint="eastAsia"/>
                <w:color w:val="000000"/>
                <w:szCs w:val="21"/>
              </w:rPr>
              <w:t>输气管线定向钻穿越</w:t>
            </w:r>
          </w:p>
        </w:tc>
      </w:tr>
    </w:tbl>
    <w:p w:rsidR="00B468C1" w:rsidRPr="0056621F" w:rsidRDefault="00B468C1" w:rsidP="0056621F">
      <w:pPr>
        <w:ind w:firstLineChars="150" w:firstLine="420"/>
        <w:jc w:val="left"/>
        <w:rPr>
          <w:rFonts w:ascii="Times New Roman" w:eastAsia="仿宋" w:hAnsi="Times New Roman" w:cs="Times New Roman"/>
          <w:sz w:val="28"/>
        </w:rPr>
      </w:pPr>
      <w:r w:rsidRPr="0056621F">
        <w:rPr>
          <w:rFonts w:ascii="Times New Roman" w:eastAsia="仿宋" w:hAnsi="Times New Roman" w:cs="Times New Roman" w:hint="eastAsia"/>
          <w:sz w:val="28"/>
        </w:rPr>
        <w:t>经过现场调查，本项目位于在二路周边，周边均为城市建成区，本项目的主要环境保护目标为项目周边的城市建成区，最近距离为</w:t>
      </w:r>
      <w:r w:rsidRPr="0056621F">
        <w:rPr>
          <w:rFonts w:ascii="Times New Roman" w:eastAsia="仿宋" w:hAnsi="Times New Roman" w:cs="Times New Roman" w:hint="eastAsia"/>
          <w:sz w:val="28"/>
        </w:rPr>
        <w:t>330m</w:t>
      </w:r>
      <w:r w:rsidRPr="0056621F">
        <w:rPr>
          <w:rFonts w:ascii="Times New Roman" w:eastAsia="仿宋" w:hAnsi="Times New Roman" w:cs="Times New Roman" w:hint="eastAsia"/>
          <w:sz w:val="28"/>
        </w:rPr>
        <w:t>。在施工过程中已采取一系列措施降低对周边敏感目标的影响。</w:t>
      </w:r>
      <w:r w:rsidR="0056621F" w:rsidRPr="0056621F">
        <w:rPr>
          <w:rFonts w:ascii="Times New Roman" w:eastAsia="仿宋" w:hAnsi="Times New Roman" w:cs="Times New Roman" w:hint="eastAsia"/>
          <w:sz w:val="28"/>
        </w:rPr>
        <w:t>项目变更对敏感目标方位无影响。</w:t>
      </w:r>
    </w:p>
    <w:p w:rsidR="001A7B6E" w:rsidRDefault="001A7B6E" w:rsidP="001A7B6E">
      <w:pPr>
        <w:spacing w:line="360" w:lineRule="auto"/>
        <w:rPr>
          <w:rFonts w:ascii="Times New Roman" w:eastAsia="仿宋" w:hAnsi="Times New Roman" w:cs="Times New Roman"/>
          <w:sz w:val="28"/>
        </w:rPr>
      </w:pPr>
      <w:r>
        <w:rPr>
          <w:rFonts w:ascii="Times New Roman" w:eastAsia="仿宋" w:hAnsi="Times New Roman" w:cs="Times New Roman" w:hint="eastAsia"/>
          <w:sz w:val="28"/>
        </w:rPr>
        <w:t>三</w:t>
      </w:r>
      <w:r>
        <w:rPr>
          <w:rFonts w:ascii="Times New Roman" w:eastAsia="仿宋" w:hAnsi="Times New Roman" w:cs="Times New Roman"/>
          <w:sz w:val="28"/>
        </w:rPr>
        <w:t>、</w:t>
      </w:r>
      <w:r w:rsidRPr="00240705">
        <w:rPr>
          <w:rFonts w:ascii="Times New Roman" w:eastAsia="仿宋" w:hAnsi="Times New Roman" w:cs="Times New Roman" w:hint="eastAsia"/>
          <w:sz w:val="28"/>
        </w:rPr>
        <w:t>调查所属开发单位环境风险防范和应急措施的</w:t>
      </w:r>
      <w:r w:rsidR="00861F4D">
        <w:rPr>
          <w:rFonts w:ascii="Times New Roman" w:eastAsia="仿宋" w:hAnsi="Times New Roman" w:cs="Times New Roman" w:hint="eastAsia"/>
          <w:sz w:val="28"/>
        </w:rPr>
        <w:t>调查</w:t>
      </w:r>
    </w:p>
    <w:p w:rsidR="00D1050B" w:rsidRPr="005535B2" w:rsidRDefault="005535B2" w:rsidP="00F503FB">
      <w:pPr>
        <w:spacing w:line="360" w:lineRule="auto"/>
        <w:ind w:firstLineChars="150" w:firstLine="420"/>
        <w:rPr>
          <w:rFonts w:ascii="Times New Roman" w:eastAsia="仿宋" w:hAnsi="Times New Roman" w:cs="Times New Roman"/>
          <w:sz w:val="28"/>
        </w:rPr>
      </w:pPr>
      <w:r>
        <w:rPr>
          <w:rFonts w:ascii="Times New Roman" w:eastAsia="仿宋" w:hAnsi="Times New Roman" w:cs="Times New Roman" w:hint="eastAsia"/>
          <w:sz w:val="28"/>
        </w:rPr>
        <w:t>（</w:t>
      </w:r>
      <w:r>
        <w:rPr>
          <w:rFonts w:ascii="Times New Roman" w:eastAsia="仿宋" w:hAnsi="Times New Roman" w:cs="Times New Roman" w:hint="eastAsia"/>
          <w:sz w:val="28"/>
        </w:rPr>
        <w:t>1</w:t>
      </w:r>
      <w:r>
        <w:rPr>
          <w:rFonts w:ascii="Times New Roman" w:eastAsia="仿宋" w:hAnsi="Times New Roman" w:cs="Times New Roman" w:hint="eastAsia"/>
          <w:sz w:val="28"/>
        </w:rPr>
        <w:t>）</w:t>
      </w:r>
      <w:r w:rsidR="00D1050B" w:rsidRPr="005535B2">
        <w:rPr>
          <w:rFonts w:ascii="Times New Roman" w:eastAsia="仿宋" w:hAnsi="Times New Roman" w:cs="Times New Roman" w:hint="eastAsia"/>
          <w:sz w:val="28"/>
        </w:rPr>
        <w:t>应急预案及演练情况调查</w:t>
      </w:r>
    </w:p>
    <w:p w:rsidR="00D1050B" w:rsidRPr="005535B2" w:rsidRDefault="00D1050B" w:rsidP="005535B2">
      <w:pPr>
        <w:spacing w:line="360" w:lineRule="auto"/>
        <w:ind w:firstLineChars="200" w:firstLine="560"/>
        <w:rPr>
          <w:rFonts w:ascii="Times New Roman" w:eastAsia="仿宋" w:hAnsi="Times New Roman" w:cs="Times New Roman"/>
          <w:sz w:val="28"/>
        </w:rPr>
      </w:pPr>
      <w:r w:rsidRPr="005535B2">
        <w:rPr>
          <w:rFonts w:ascii="Times New Roman" w:eastAsia="仿宋" w:hAnsi="Times New Roman" w:cs="Times New Roman" w:hint="eastAsia"/>
          <w:sz w:val="28"/>
        </w:rPr>
        <w:t>东辛采油厂制定了《东辛采油厂突发事件应急预案》，应急预案包括了总则、组织机构与职责、预测与预警、应急准备、应急报告与</w:t>
      </w:r>
      <w:r w:rsidRPr="005535B2">
        <w:rPr>
          <w:rFonts w:ascii="Times New Roman" w:eastAsia="仿宋" w:hAnsi="Times New Roman" w:cs="Times New Roman" w:hint="eastAsia"/>
          <w:sz w:val="28"/>
        </w:rPr>
        <w:lastRenderedPageBreak/>
        <w:t>应急指令、应急处置、应急终止与后期处置、应急保障、监督管理等内容，并配编有关于火灾爆炸、井喷、油气管线及原油储罐泄漏、硫化氢泄漏、环境事件应急预案等</w:t>
      </w:r>
      <w:r w:rsidRPr="005535B2">
        <w:rPr>
          <w:rFonts w:ascii="Times New Roman" w:eastAsia="仿宋" w:hAnsi="Times New Roman" w:cs="Times New Roman" w:hint="eastAsia"/>
          <w:sz w:val="28"/>
        </w:rPr>
        <w:t>13</w:t>
      </w:r>
      <w:r w:rsidRPr="005535B2">
        <w:rPr>
          <w:rFonts w:ascii="Times New Roman" w:eastAsia="仿宋" w:hAnsi="Times New Roman" w:cs="Times New Roman" w:hint="eastAsia"/>
          <w:sz w:val="28"/>
        </w:rPr>
        <w:t>个单项应急预案。建设单位现有应急预案体系能够满足本项目的需要。</w:t>
      </w:r>
      <w:r w:rsidR="005535B2" w:rsidRPr="005535B2">
        <w:rPr>
          <w:rFonts w:ascii="Times New Roman" w:eastAsia="仿宋" w:hAnsi="Times New Roman" w:cs="Times New Roman" w:hint="eastAsia"/>
          <w:sz w:val="28"/>
        </w:rPr>
        <w:t>从现场调查情况可知，管线完工以来从未发生过风险事故，说明上述各种事故风险防范措施行之有效。应急预案在环保局进行了备案（备案号为</w:t>
      </w:r>
      <w:r w:rsidR="005535B2" w:rsidRPr="005535B2">
        <w:rPr>
          <w:rFonts w:ascii="Times New Roman" w:eastAsia="仿宋" w:hAnsi="Times New Roman" w:cs="Times New Roman" w:hint="eastAsia"/>
          <w:sz w:val="28"/>
        </w:rPr>
        <w:t>370502-2017-067-M</w:t>
      </w:r>
      <w:r w:rsidR="005535B2" w:rsidRPr="005535B2">
        <w:rPr>
          <w:rFonts w:ascii="Times New Roman" w:eastAsia="仿宋" w:hAnsi="Times New Roman" w:cs="Times New Roman" w:hint="eastAsia"/>
          <w:sz w:val="28"/>
        </w:rPr>
        <w:t>），东辛采油厂定期组织职工开展应急演练。</w:t>
      </w:r>
    </w:p>
    <w:p w:rsidR="00D1050B" w:rsidRPr="005535B2" w:rsidRDefault="00D1050B" w:rsidP="00861F4D">
      <w:pPr>
        <w:spacing w:line="360" w:lineRule="auto"/>
        <w:ind w:firstLineChars="150" w:firstLine="420"/>
        <w:rPr>
          <w:rFonts w:ascii="Times New Roman" w:eastAsia="仿宋" w:hAnsi="Times New Roman" w:cs="Times New Roman"/>
          <w:sz w:val="28"/>
        </w:rPr>
      </w:pPr>
      <w:r w:rsidRPr="005535B2">
        <w:rPr>
          <w:rFonts w:ascii="Times New Roman" w:eastAsia="仿宋" w:hAnsi="Times New Roman" w:cs="Times New Roman" w:hint="eastAsia"/>
          <w:sz w:val="28"/>
        </w:rPr>
        <w:t>（</w:t>
      </w:r>
      <w:r w:rsidR="00861F4D">
        <w:rPr>
          <w:rFonts w:ascii="Times New Roman" w:eastAsia="仿宋" w:hAnsi="Times New Roman" w:cs="Times New Roman"/>
          <w:sz w:val="28"/>
        </w:rPr>
        <w:t>2</w:t>
      </w:r>
      <w:r w:rsidRPr="005535B2">
        <w:rPr>
          <w:rFonts w:ascii="Times New Roman" w:eastAsia="仿宋" w:hAnsi="Times New Roman" w:cs="Times New Roman" w:hint="eastAsia"/>
          <w:sz w:val="28"/>
        </w:rPr>
        <w:t>）环境风险调查</w:t>
      </w:r>
    </w:p>
    <w:p w:rsidR="00F503FB" w:rsidRDefault="00D1050B" w:rsidP="00861F4D">
      <w:pPr>
        <w:spacing w:line="360" w:lineRule="auto"/>
        <w:ind w:firstLineChars="200" w:firstLine="560"/>
        <w:rPr>
          <w:rFonts w:ascii="Times New Roman" w:eastAsia="仿宋" w:hAnsi="Times New Roman" w:cs="Times New Roman"/>
          <w:sz w:val="28"/>
        </w:rPr>
      </w:pPr>
      <w:r w:rsidRPr="005535B2">
        <w:rPr>
          <w:rFonts w:ascii="Times New Roman" w:eastAsia="仿宋" w:hAnsi="Times New Roman" w:cs="Times New Roman" w:hint="eastAsia"/>
          <w:sz w:val="28"/>
        </w:rPr>
        <w:t>①项目新建更新管线输送介质为原油和含油污水</w:t>
      </w:r>
      <w:r w:rsidRPr="005535B2">
        <w:rPr>
          <w:rFonts w:ascii="Times New Roman" w:eastAsia="仿宋" w:hAnsi="Times New Roman" w:cs="Times New Roman" w:hint="eastAsia"/>
          <w:sz w:val="28"/>
        </w:rPr>
        <w:t>,</w:t>
      </w:r>
      <w:r w:rsidRPr="005535B2">
        <w:rPr>
          <w:rFonts w:ascii="Times New Roman" w:eastAsia="仿宋" w:hAnsi="Times New Roman" w:cs="Times New Roman" w:hint="eastAsia"/>
          <w:sz w:val="28"/>
        </w:rPr>
        <w:t>不属于易燃易爆物质。项目最大可信事故确定为原油和含油污水泄漏。项目落实了设计、施工和运行各项环境风险防范措施和应急预案，加强了环境风险管理，项目的选址和建设、运营从环境风险的角度考虑是可以接受的。</w:t>
      </w:r>
      <w:r w:rsidRPr="005535B2">
        <w:rPr>
          <w:rFonts w:ascii="Times New Roman" w:eastAsia="仿宋" w:hAnsi="Times New Roman" w:cs="Times New Roman" w:hint="eastAsia"/>
          <w:sz w:val="28"/>
        </w:rPr>
        <w:t xml:space="preserve"> </w:t>
      </w:r>
    </w:p>
    <w:p w:rsidR="00D1050B" w:rsidRPr="005535B2" w:rsidRDefault="00D1050B" w:rsidP="00861F4D">
      <w:pPr>
        <w:spacing w:line="360" w:lineRule="auto"/>
        <w:ind w:firstLineChars="200" w:firstLine="560"/>
        <w:rPr>
          <w:rFonts w:ascii="Times New Roman" w:eastAsia="仿宋" w:hAnsi="Times New Roman" w:cs="Times New Roman"/>
          <w:sz w:val="28"/>
        </w:rPr>
      </w:pPr>
      <w:r w:rsidRPr="005535B2">
        <w:rPr>
          <w:rFonts w:ascii="Times New Roman" w:eastAsia="仿宋" w:hAnsi="Times New Roman" w:cs="Times New Roman" w:hint="eastAsia"/>
          <w:sz w:val="28"/>
        </w:rPr>
        <w:t>②建设单位制定了一系列的风险防范措施、环境风险应急预案及应急监测方案，配备了必须的应急物资，进行了应急演练，企业突发环境事件应急预案进行了备案。通过采取有效的预防措施和制定完善的应急救援预案，严格执行了环评提出的环境风险对策措施，建设项目的环境风险处于可接受水平。</w:t>
      </w:r>
      <w:r w:rsidRPr="005535B2">
        <w:rPr>
          <w:rFonts w:ascii="Times New Roman" w:eastAsia="仿宋" w:hAnsi="Times New Roman" w:cs="Times New Roman" w:hint="eastAsia"/>
          <w:sz w:val="28"/>
        </w:rPr>
        <w:t xml:space="preserve"> </w:t>
      </w:r>
    </w:p>
    <w:p w:rsidR="00D1050B" w:rsidRPr="00B80491" w:rsidRDefault="00D1050B" w:rsidP="00B80491">
      <w:pPr>
        <w:spacing w:line="360" w:lineRule="auto"/>
        <w:ind w:firstLineChars="200" w:firstLine="560"/>
        <w:rPr>
          <w:rFonts w:ascii="Times New Roman" w:eastAsia="仿宋" w:hAnsi="Times New Roman" w:cs="Times New Roman"/>
          <w:sz w:val="28"/>
        </w:rPr>
      </w:pPr>
      <w:r w:rsidRPr="00B80491">
        <w:rPr>
          <w:rFonts w:ascii="Times New Roman" w:eastAsia="仿宋" w:hAnsi="Times New Roman" w:cs="Times New Roman" w:hint="eastAsia"/>
          <w:sz w:val="28"/>
        </w:rPr>
        <w:t>（</w:t>
      </w:r>
      <w:r w:rsidR="00537321">
        <w:rPr>
          <w:rFonts w:ascii="Times New Roman" w:eastAsia="仿宋" w:hAnsi="Times New Roman" w:cs="Times New Roman"/>
          <w:sz w:val="28"/>
        </w:rPr>
        <w:t>3</w:t>
      </w:r>
      <w:r w:rsidRPr="00B80491">
        <w:rPr>
          <w:rFonts w:ascii="Times New Roman" w:eastAsia="仿宋" w:hAnsi="Times New Roman" w:cs="Times New Roman" w:hint="eastAsia"/>
          <w:sz w:val="28"/>
        </w:rPr>
        <w:t>）环境管理调查</w:t>
      </w:r>
    </w:p>
    <w:p w:rsidR="00D1050B" w:rsidRPr="00B80491" w:rsidRDefault="00D1050B" w:rsidP="00B80491">
      <w:pPr>
        <w:spacing w:line="360" w:lineRule="auto"/>
        <w:ind w:firstLineChars="200" w:firstLine="560"/>
        <w:rPr>
          <w:rFonts w:ascii="Times New Roman" w:eastAsia="仿宋" w:hAnsi="Times New Roman" w:cs="Times New Roman"/>
          <w:sz w:val="28"/>
        </w:rPr>
      </w:pPr>
      <w:r w:rsidRPr="00B80491">
        <w:rPr>
          <w:rFonts w:ascii="Times New Roman" w:eastAsia="仿宋" w:hAnsi="Times New Roman" w:cs="Times New Roman" w:hint="eastAsia"/>
          <w:sz w:val="28"/>
        </w:rPr>
        <w:t>项目在建设过程中，严格执行了国家有关建设项目环境保护管理的各项规章制度，做到了环保设施与主体工程同时设计、同时施工、同时投产。</w:t>
      </w:r>
    </w:p>
    <w:p w:rsidR="00D1050B" w:rsidRPr="00D1050B" w:rsidRDefault="00D1050B" w:rsidP="00B80491">
      <w:pPr>
        <w:spacing w:line="360" w:lineRule="auto"/>
        <w:ind w:firstLineChars="200" w:firstLine="560"/>
        <w:rPr>
          <w:rFonts w:ascii="Times New Roman" w:eastAsia="仿宋" w:hAnsi="Times New Roman" w:cs="Times New Roman"/>
          <w:sz w:val="28"/>
        </w:rPr>
      </w:pPr>
      <w:r w:rsidRPr="00B80491">
        <w:rPr>
          <w:rFonts w:ascii="Times New Roman" w:eastAsia="仿宋" w:hAnsi="Times New Roman" w:cs="Times New Roman" w:hint="eastAsia"/>
          <w:sz w:val="28"/>
        </w:rPr>
        <w:lastRenderedPageBreak/>
        <w:t>建设单位按照环境保护局的环评审批意见，落实和做好了文件中要求的重点工作。建设单位有系统的环保机构设置和规章制度，管线处于良好运行状</w:t>
      </w:r>
      <w:r w:rsidR="00B80491">
        <w:rPr>
          <w:rFonts w:ascii="Times New Roman" w:eastAsia="仿宋" w:hAnsi="Times New Roman" w:cs="Times New Roman" w:hint="eastAsia"/>
          <w:sz w:val="28"/>
        </w:rPr>
        <w:t>态，制定了环境风险预案并在环保局进行了备案，预防风险事故的发生。</w:t>
      </w:r>
    </w:p>
    <w:p w:rsidR="001A7B6E" w:rsidRDefault="001A7B6E" w:rsidP="001A7B6E">
      <w:pPr>
        <w:spacing w:line="360" w:lineRule="auto"/>
        <w:rPr>
          <w:rFonts w:ascii="Times New Roman" w:eastAsia="仿宋" w:hAnsi="Times New Roman" w:cs="Times New Roman"/>
          <w:sz w:val="28"/>
        </w:rPr>
      </w:pPr>
      <w:r>
        <w:rPr>
          <w:rFonts w:ascii="Times New Roman" w:eastAsia="仿宋" w:hAnsi="Times New Roman" w:cs="Times New Roman" w:hint="eastAsia"/>
          <w:sz w:val="28"/>
        </w:rPr>
        <w:t>四</w:t>
      </w:r>
      <w:r>
        <w:rPr>
          <w:rFonts w:ascii="Times New Roman" w:eastAsia="仿宋" w:hAnsi="Times New Roman" w:cs="Times New Roman"/>
          <w:sz w:val="28"/>
        </w:rPr>
        <w:t>、</w:t>
      </w:r>
      <w:r w:rsidRPr="00240705">
        <w:rPr>
          <w:rFonts w:ascii="Times New Roman" w:eastAsia="仿宋" w:hAnsi="Times New Roman" w:cs="Times New Roman" w:hint="eastAsia"/>
          <w:sz w:val="28"/>
        </w:rPr>
        <w:t>现</w:t>
      </w:r>
      <w:r w:rsidR="00A70239">
        <w:rPr>
          <w:rFonts w:ascii="Times New Roman" w:eastAsia="仿宋" w:hAnsi="Times New Roman" w:cs="Times New Roman" w:hint="eastAsia"/>
          <w:sz w:val="28"/>
        </w:rPr>
        <w:t>场调查情况</w:t>
      </w:r>
    </w:p>
    <w:p w:rsidR="00096745" w:rsidRDefault="005A651D" w:rsidP="00A72095">
      <w:pPr>
        <w:spacing w:line="360"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本次</w:t>
      </w:r>
      <w:r w:rsidR="00096745">
        <w:rPr>
          <w:rFonts w:ascii="Times New Roman" w:eastAsia="仿宋" w:hAnsi="Times New Roman" w:cs="Times New Roman" w:hint="eastAsia"/>
          <w:sz w:val="28"/>
        </w:rPr>
        <w:t>调查内容</w:t>
      </w:r>
      <w:r>
        <w:rPr>
          <w:rFonts w:ascii="Times New Roman" w:eastAsia="仿宋" w:hAnsi="Times New Roman" w:cs="Times New Roman" w:hint="eastAsia"/>
          <w:sz w:val="28"/>
        </w:rPr>
        <w:t>主要</w:t>
      </w:r>
      <w:r>
        <w:rPr>
          <w:rFonts w:ascii="Times New Roman" w:eastAsia="仿宋" w:hAnsi="Times New Roman" w:cs="Times New Roman"/>
          <w:sz w:val="28"/>
        </w:rPr>
        <w:t>为</w:t>
      </w:r>
      <w:r w:rsidR="00096745" w:rsidRPr="005A651D">
        <w:rPr>
          <w:rFonts w:ascii="Times New Roman" w:eastAsia="仿宋" w:hAnsi="Times New Roman" w:cs="Times New Roman" w:hint="eastAsia"/>
          <w:sz w:val="28"/>
        </w:rPr>
        <w:t>调查项目建设的变更情况，及其可能对环评结论和环保措施的影响。调查工程在施工、运行和管理等方面落实环境影响报告表所提环保措施的情况，以及对环境保护行政主管部门批复要求的落实情况。调查本工程己采取的生态保护及污染控制措施，并通过对项目所在区域环境现状调查结果的评价，分析各项措施实施的有效性。针对该工程已产生的实际环境问题及可能存在的潜在环境影响，提出切实可行的补救措施和应急措施，对己实施的尚不完善的措施提出改进意见。根据调查结果，客观、公正地从技术上论证项目是否符合竣工环境保护验收的条件。</w:t>
      </w:r>
    </w:p>
    <w:p w:rsidR="008A0AE8" w:rsidRDefault="008A0AE8" w:rsidP="008A0AE8">
      <w:pPr>
        <w:spacing w:line="360" w:lineRule="auto"/>
        <w:ind w:firstLineChars="200" w:firstLine="560"/>
        <w:rPr>
          <w:rFonts w:ascii="Times New Roman" w:eastAsia="仿宋" w:hAnsi="Times New Roman" w:cs="Times New Roman"/>
          <w:sz w:val="28"/>
        </w:rPr>
      </w:pPr>
      <w:r w:rsidRPr="008A0AE8">
        <w:rPr>
          <w:rFonts w:ascii="Times New Roman" w:eastAsia="仿宋" w:hAnsi="Times New Roman" w:cs="Times New Roman" w:hint="eastAsia"/>
          <w:sz w:val="28"/>
        </w:rPr>
        <w:t>2017</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10</w:t>
      </w:r>
      <w:r w:rsidRPr="008A0AE8">
        <w:rPr>
          <w:rFonts w:ascii="Times New Roman" w:eastAsia="仿宋" w:hAnsi="Times New Roman" w:cs="Times New Roman" w:hint="eastAsia"/>
          <w:sz w:val="28"/>
        </w:rPr>
        <w:t>月东辛采油厂委托胜利油田检测评价研究有限公司完成了《东辛采油厂东营区西二路综合改造影响营二采油管理区生产设施迁建工程环境影响报告表》。</w:t>
      </w:r>
      <w:r w:rsidRPr="008A0AE8">
        <w:rPr>
          <w:rFonts w:ascii="Times New Roman" w:eastAsia="仿宋" w:hAnsi="Times New Roman" w:cs="Times New Roman" w:hint="eastAsia"/>
          <w:sz w:val="28"/>
        </w:rPr>
        <w:t>2017</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11</w:t>
      </w:r>
      <w:r w:rsidRPr="008A0AE8">
        <w:rPr>
          <w:rFonts w:ascii="Times New Roman" w:eastAsia="仿宋" w:hAnsi="Times New Roman" w:cs="Times New Roman" w:hint="eastAsia"/>
          <w:sz w:val="28"/>
        </w:rPr>
        <w:t>月东营市环境保护局以东环东分建审</w:t>
      </w:r>
      <w:r w:rsidRPr="008A0AE8">
        <w:rPr>
          <w:rFonts w:ascii="Times New Roman" w:eastAsia="仿宋" w:hAnsi="Times New Roman" w:cs="Times New Roman" w:hint="eastAsia"/>
          <w:sz w:val="28"/>
        </w:rPr>
        <w:t>[2017]201</w:t>
      </w:r>
      <w:r w:rsidRPr="008A0AE8">
        <w:rPr>
          <w:rFonts w:ascii="Times New Roman" w:eastAsia="仿宋" w:hAnsi="Times New Roman" w:cs="Times New Roman" w:hint="eastAsia"/>
          <w:sz w:val="28"/>
        </w:rPr>
        <w:t>号文对报告表进行了批复。环保设施设计单位为胜利油田森诺胜利工程有限公司，施工单位为胜利油田新大安装工程有限公司。</w:t>
      </w:r>
      <w:r w:rsidRPr="008A0AE8">
        <w:rPr>
          <w:rFonts w:ascii="Times New Roman" w:eastAsia="仿宋" w:hAnsi="Times New Roman" w:cs="Times New Roman" w:hint="eastAsia"/>
          <w:sz w:val="28"/>
        </w:rPr>
        <w:t>2019</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8</w:t>
      </w:r>
      <w:r w:rsidRPr="008A0AE8">
        <w:rPr>
          <w:rFonts w:ascii="Times New Roman" w:eastAsia="仿宋" w:hAnsi="Times New Roman" w:cs="Times New Roman" w:hint="eastAsia"/>
          <w:sz w:val="28"/>
        </w:rPr>
        <w:t>月，该项目进行了竣工期及调试期的公示，竣工日期为</w:t>
      </w:r>
      <w:r w:rsidRPr="008A0AE8">
        <w:rPr>
          <w:rFonts w:ascii="Times New Roman" w:eastAsia="仿宋" w:hAnsi="Times New Roman" w:cs="Times New Roman" w:hint="eastAsia"/>
          <w:sz w:val="28"/>
        </w:rPr>
        <w:t>2019</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8</w:t>
      </w:r>
      <w:r w:rsidRPr="008A0AE8">
        <w:rPr>
          <w:rFonts w:ascii="Times New Roman" w:eastAsia="仿宋" w:hAnsi="Times New Roman" w:cs="Times New Roman" w:hint="eastAsia"/>
          <w:sz w:val="28"/>
        </w:rPr>
        <w:t>月</w:t>
      </w:r>
      <w:r w:rsidRPr="008A0AE8">
        <w:rPr>
          <w:rFonts w:ascii="Times New Roman" w:eastAsia="仿宋" w:hAnsi="Times New Roman" w:cs="Times New Roman" w:hint="eastAsia"/>
          <w:sz w:val="28"/>
        </w:rPr>
        <w:t>15</w:t>
      </w:r>
      <w:r w:rsidRPr="008A0AE8">
        <w:rPr>
          <w:rFonts w:ascii="Times New Roman" w:eastAsia="仿宋" w:hAnsi="Times New Roman" w:cs="Times New Roman" w:hint="eastAsia"/>
          <w:sz w:val="28"/>
        </w:rPr>
        <w:t>日，调试期为</w:t>
      </w:r>
      <w:r w:rsidRPr="008A0AE8">
        <w:rPr>
          <w:rFonts w:ascii="Times New Roman" w:eastAsia="仿宋" w:hAnsi="Times New Roman" w:cs="Times New Roman" w:hint="eastAsia"/>
          <w:sz w:val="28"/>
        </w:rPr>
        <w:t>2019</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8</w:t>
      </w:r>
      <w:r w:rsidRPr="008A0AE8">
        <w:rPr>
          <w:rFonts w:ascii="Times New Roman" w:eastAsia="仿宋" w:hAnsi="Times New Roman" w:cs="Times New Roman" w:hint="eastAsia"/>
          <w:sz w:val="28"/>
        </w:rPr>
        <w:t>月</w:t>
      </w:r>
      <w:r w:rsidRPr="008A0AE8">
        <w:rPr>
          <w:rFonts w:ascii="Times New Roman" w:eastAsia="仿宋" w:hAnsi="Times New Roman" w:cs="Times New Roman" w:hint="eastAsia"/>
          <w:sz w:val="28"/>
        </w:rPr>
        <w:t>19</w:t>
      </w:r>
      <w:r w:rsidRPr="008A0AE8">
        <w:rPr>
          <w:rFonts w:ascii="Times New Roman" w:eastAsia="仿宋" w:hAnsi="Times New Roman" w:cs="Times New Roman" w:hint="eastAsia"/>
          <w:sz w:val="28"/>
        </w:rPr>
        <w:t>日到</w:t>
      </w:r>
      <w:r w:rsidRPr="008A0AE8">
        <w:rPr>
          <w:rFonts w:ascii="Times New Roman" w:eastAsia="仿宋" w:hAnsi="Times New Roman" w:cs="Times New Roman" w:hint="eastAsia"/>
          <w:sz w:val="28"/>
        </w:rPr>
        <w:t>2019</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11</w:t>
      </w:r>
      <w:r w:rsidRPr="008A0AE8">
        <w:rPr>
          <w:rFonts w:ascii="Times New Roman" w:eastAsia="仿宋" w:hAnsi="Times New Roman" w:cs="Times New Roman" w:hint="eastAsia"/>
          <w:sz w:val="28"/>
        </w:rPr>
        <w:t>月</w:t>
      </w:r>
      <w:r w:rsidRPr="008A0AE8">
        <w:rPr>
          <w:rFonts w:ascii="Times New Roman" w:eastAsia="仿宋" w:hAnsi="Times New Roman" w:cs="Times New Roman" w:hint="eastAsia"/>
          <w:sz w:val="28"/>
        </w:rPr>
        <w:t>19</w:t>
      </w:r>
      <w:r w:rsidRPr="008A0AE8">
        <w:rPr>
          <w:rFonts w:ascii="Times New Roman" w:eastAsia="仿宋" w:hAnsi="Times New Roman" w:cs="Times New Roman" w:hint="eastAsia"/>
          <w:sz w:val="28"/>
        </w:rPr>
        <w:t>日。受胜利油田东辛采油厂委托，胜利油田环境监测总站承</w:t>
      </w:r>
      <w:r w:rsidRPr="008A0AE8">
        <w:rPr>
          <w:rFonts w:ascii="Times New Roman" w:eastAsia="仿宋" w:hAnsi="Times New Roman" w:cs="Times New Roman" w:hint="eastAsia"/>
          <w:sz w:val="28"/>
        </w:rPr>
        <w:lastRenderedPageBreak/>
        <w:t>担了该项目的竣工环境保护验收调查工作。在建设单位所提供的有关资料和现场勘察的基础上，于</w:t>
      </w:r>
      <w:r w:rsidRPr="008A0AE8">
        <w:rPr>
          <w:rFonts w:ascii="Times New Roman" w:eastAsia="仿宋" w:hAnsi="Times New Roman" w:cs="Times New Roman" w:hint="eastAsia"/>
          <w:sz w:val="28"/>
        </w:rPr>
        <w:t>2019</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9</w:t>
      </w:r>
      <w:r w:rsidRPr="008A0AE8">
        <w:rPr>
          <w:rFonts w:ascii="Times New Roman" w:eastAsia="仿宋" w:hAnsi="Times New Roman" w:cs="Times New Roman" w:hint="eastAsia"/>
          <w:sz w:val="28"/>
        </w:rPr>
        <w:t>月</w:t>
      </w:r>
      <w:r w:rsidRPr="008A0AE8">
        <w:rPr>
          <w:rFonts w:ascii="Times New Roman" w:eastAsia="仿宋" w:hAnsi="Times New Roman" w:cs="Times New Roman" w:hint="eastAsia"/>
          <w:sz w:val="28"/>
        </w:rPr>
        <w:t>18</w:t>
      </w:r>
      <w:r w:rsidRPr="008A0AE8">
        <w:rPr>
          <w:rFonts w:ascii="Times New Roman" w:eastAsia="仿宋" w:hAnsi="Times New Roman" w:cs="Times New Roman" w:hint="eastAsia"/>
          <w:sz w:val="28"/>
        </w:rPr>
        <w:t>日，</w:t>
      </w:r>
      <w:r w:rsidRPr="008A0AE8">
        <w:rPr>
          <w:rFonts w:ascii="Times New Roman" w:eastAsia="仿宋" w:hAnsi="Times New Roman" w:cs="Times New Roman" w:hint="eastAsia"/>
          <w:sz w:val="28"/>
        </w:rPr>
        <w:t>2019</w:t>
      </w:r>
      <w:r w:rsidRPr="008A0AE8">
        <w:rPr>
          <w:rFonts w:ascii="Times New Roman" w:eastAsia="仿宋" w:hAnsi="Times New Roman" w:cs="Times New Roman" w:hint="eastAsia"/>
          <w:sz w:val="28"/>
        </w:rPr>
        <w:t>年</w:t>
      </w:r>
      <w:r w:rsidRPr="008A0AE8">
        <w:rPr>
          <w:rFonts w:ascii="Times New Roman" w:eastAsia="仿宋" w:hAnsi="Times New Roman" w:cs="Times New Roman" w:hint="eastAsia"/>
          <w:sz w:val="28"/>
        </w:rPr>
        <w:t>10</w:t>
      </w:r>
      <w:r w:rsidRPr="008A0AE8">
        <w:rPr>
          <w:rFonts w:ascii="Times New Roman" w:eastAsia="仿宋" w:hAnsi="Times New Roman" w:cs="Times New Roman" w:hint="eastAsia"/>
          <w:sz w:val="28"/>
        </w:rPr>
        <w:t>月</w:t>
      </w:r>
      <w:r w:rsidRPr="008A0AE8">
        <w:rPr>
          <w:rFonts w:ascii="Times New Roman" w:eastAsia="仿宋" w:hAnsi="Times New Roman" w:cs="Times New Roman" w:hint="eastAsia"/>
          <w:sz w:val="28"/>
        </w:rPr>
        <w:t>8</w:t>
      </w:r>
      <w:r w:rsidRPr="008A0AE8">
        <w:rPr>
          <w:rFonts w:ascii="Times New Roman" w:eastAsia="仿宋" w:hAnsi="Times New Roman" w:cs="Times New Roman" w:hint="eastAsia"/>
          <w:sz w:val="28"/>
        </w:rPr>
        <w:t>日</w:t>
      </w:r>
      <w:r w:rsidRPr="008A0AE8">
        <w:rPr>
          <w:rFonts w:ascii="Times New Roman" w:eastAsia="仿宋" w:hAnsi="Times New Roman" w:cs="Times New Roman" w:hint="eastAsia"/>
          <w:sz w:val="28"/>
        </w:rPr>
        <w:t>-9</w:t>
      </w:r>
      <w:r w:rsidRPr="008A0AE8">
        <w:rPr>
          <w:rFonts w:ascii="Times New Roman" w:eastAsia="仿宋" w:hAnsi="Times New Roman" w:cs="Times New Roman" w:hint="eastAsia"/>
          <w:sz w:val="28"/>
        </w:rPr>
        <w:t>日进行了现场勘查，根据现场调查结果编写了《东辛采油厂东营区西二路综合改造影响营二采油管理区生产设施迁建工程竣工环境保护验收调查报告》。</w:t>
      </w:r>
    </w:p>
    <w:p w:rsidR="001A7B6E" w:rsidRPr="00240705" w:rsidRDefault="001A7B6E" w:rsidP="001A7B6E">
      <w:pPr>
        <w:spacing w:line="360" w:lineRule="auto"/>
        <w:rPr>
          <w:rFonts w:ascii="Times New Roman" w:eastAsia="仿宋" w:hAnsi="Times New Roman" w:cs="Times New Roman"/>
          <w:sz w:val="28"/>
        </w:rPr>
      </w:pPr>
      <w:r>
        <w:rPr>
          <w:rFonts w:ascii="Times New Roman" w:eastAsia="仿宋" w:hAnsi="Times New Roman" w:cs="Times New Roman" w:hint="eastAsia"/>
          <w:sz w:val="28"/>
        </w:rPr>
        <w:t>五</w:t>
      </w:r>
      <w:r>
        <w:rPr>
          <w:rFonts w:ascii="Times New Roman" w:eastAsia="仿宋" w:hAnsi="Times New Roman" w:cs="Times New Roman"/>
          <w:sz w:val="28"/>
        </w:rPr>
        <w:t>、调查现场照片</w:t>
      </w:r>
    </w:p>
    <w:p w:rsidR="001A7B6E" w:rsidRPr="004A6C15" w:rsidRDefault="004A6C15" w:rsidP="001A7B6E">
      <w:pPr>
        <w:spacing w:line="360" w:lineRule="auto"/>
        <w:rPr>
          <w:rFonts w:ascii="Times New Roman" w:eastAsia="仿宋" w:hAnsi="Times New Roman" w:cs="Times New Roman"/>
          <w:sz w:val="28"/>
        </w:rPr>
      </w:pPr>
      <w:r>
        <w:rPr>
          <w:noProof/>
        </w:rPr>
        <w:drawing>
          <wp:inline distT="0" distB="0" distL="0" distR="0">
            <wp:extent cx="4907280" cy="5852160"/>
            <wp:effectExtent l="0" t="0" r="7620" b="0"/>
            <wp:docPr id="37" name="图片 37" descr="C:\Users\mzy\AppData\Roaming\Morrowsft\Mricu\DATA\1561\31452\temp\2019121710155659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zy\AppData\Roaming\Morrowsft\Mricu\DATA\1561\31452\temp\201912171015565953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7280" cy="5852160"/>
                    </a:xfrm>
                    <a:prstGeom prst="rect">
                      <a:avLst/>
                    </a:prstGeom>
                    <a:noFill/>
                    <a:ln>
                      <a:noFill/>
                    </a:ln>
                  </pic:spPr>
                </pic:pic>
              </a:graphicData>
            </a:graphic>
          </wp:inline>
        </w:drawing>
      </w:r>
    </w:p>
    <w:p w:rsidR="001A7B6E" w:rsidRDefault="001A7B6E" w:rsidP="004A6C15">
      <w:pPr>
        <w:rPr>
          <w:rFonts w:ascii="仿宋" w:eastAsia="仿宋" w:hAnsi="仿宋" w:cs="宋体"/>
          <w:bCs/>
          <w:color w:val="000000"/>
          <w:kern w:val="0"/>
          <w:sz w:val="40"/>
        </w:rPr>
      </w:pPr>
    </w:p>
    <w:sectPr w:rsidR="001A7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FF0" w:rsidRDefault="00C27FF0" w:rsidP="001A7B6E">
      <w:r>
        <w:separator/>
      </w:r>
    </w:p>
  </w:endnote>
  <w:endnote w:type="continuationSeparator" w:id="0">
    <w:p w:rsidR="00C27FF0" w:rsidRDefault="00C27FF0" w:rsidP="001A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FF0" w:rsidRDefault="00C27FF0" w:rsidP="001A7B6E">
      <w:r>
        <w:separator/>
      </w:r>
    </w:p>
  </w:footnote>
  <w:footnote w:type="continuationSeparator" w:id="0">
    <w:p w:rsidR="00C27FF0" w:rsidRDefault="00C27FF0" w:rsidP="001A7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07DC3"/>
    <w:multiLevelType w:val="hybridMultilevel"/>
    <w:tmpl w:val="62527688"/>
    <w:lvl w:ilvl="0" w:tplc="29949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52566927"/>
    <w:multiLevelType w:val="hybridMultilevel"/>
    <w:tmpl w:val="516853BC"/>
    <w:lvl w:ilvl="0" w:tplc="90AC910E">
      <w:start w:val="1"/>
      <w:numFmt w:val="japaneseCounting"/>
      <w:lvlText w:val="%1、"/>
      <w:lvlJc w:val="left"/>
      <w:pPr>
        <w:ind w:left="792" w:hanging="792"/>
      </w:pPr>
      <w:rPr>
        <w:rFonts w:ascii="仿宋" w:hAnsi="仿宋" w:cs="宋体" w:hint="default"/>
        <w:color w:val="000000"/>
        <w:sz w:val="4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161D5C"/>
    <w:multiLevelType w:val="hybridMultilevel"/>
    <w:tmpl w:val="3A4CD37C"/>
    <w:lvl w:ilvl="0" w:tplc="4D402022">
      <w:start w:val="1"/>
      <w:numFmt w:val="decimalEnclosedCircle"/>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D3"/>
    <w:rsid w:val="00096745"/>
    <w:rsid w:val="000B3E0D"/>
    <w:rsid w:val="001A229A"/>
    <w:rsid w:val="001A7B6E"/>
    <w:rsid w:val="001C353C"/>
    <w:rsid w:val="00275295"/>
    <w:rsid w:val="00280DC2"/>
    <w:rsid w:val="002D76FA"/>
    <w:rsid w:val="003371BD"/>
    <w:rsid w:val="00391C7A"/>
    <w:rsid w:val="003B4DDD"/>
    <w:rsid w:val="00425013"/>
    <w:rsid w:val="00441317"/>
    <w:rsid w:val="004A6C15"/>
    <w:rsid w:val="004F37FA"/>
    <w:rsid w:val="00537321"/>
    <w:rsid w:val="005535B2"/>
    <w:rsid w:val="0056621F"/>
    <w:rsid w:val="00587C3D"/>
    <w:rsid w:val="005A651D"/>
    <w:rsid w:val="005D0101"/>
    <w:rsid w:val="006C1974"/>
    <w:rsid w:val="00747FA8"/>
    <w:rsid w:val="00787513"/>
    <w:rsid w:val="00831A0E"/>
    <w:rsid w:val="0083337F"/>
    <w:rsid w:val="00861F4D"/>
    <w:rsid w:val="008A0AE8"/>
    <w:rsid w:val="009A24EC"/>
    <w:rsid w:val="00A16884"/>
    <w:rsid w:val="00A70239"/>
    <w:rsid w:val="00A707D5"/>
    <w:rsid w:val="00A72095"/>
    <w:rsid w:val="00B06C7E"/>
    <w:rsid w:val="00B468C1"/>
    <w:rsid w:val="00B80491"/>
    <w:rsid w:val="00B96D32"/>
    <w:rsid w:val="00C27D81"/>
    <w:rsid w:val="00C27FF0"/>
    <w:rsid w:val="00C55D09"/>
    <w:rsid w:val="00D1050B"/>
    <w:rsid w:val="00D860C5"/>
    <w:rsid w:val="00DC1D60"/>
    <w:rsid w:val="00E34457"/>
    <w:rsid w:val="00E6128A"/>
    <w:rsid w:val="00E7716E"/>
    <w:rsid w:val="00F15FCA"/>
    <w:rsid w:val="00F43FD3"/>
    <w:rsid w:val="00F503FB"/>
    <w:rsid w:val="00FC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06F7E9-C801-445A-B2E0-60D6346F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B6E"/>
    <w:rPr>
      <w:sz w:val="18"/>
      <w:szCs w:val="18"/>
    </w:rPr>
  </w:style>
  <w:style w:type="paragraph" w:styleId="a4">
    <w:name w:val="footer"/>
    <w:basedOn w:val="a"/>
    <w:link w:val="Char0"/>
    <w:uiPriority w:val="99"/>
    <w:unhideWhenUsed/>
    <w:rsid w:val="001A7B6E"/>
    <w:pPr>
      <w:tabs>
        <w:tab w:val="center" w:pos="4153"/>
        <w:tab w:val="right" w:pos="8306"/>
      </w:tabs>
      <w:snapToGrid w:val="0"/>
      <w:jc w:val="left"/>
    </w:pPr>
    <w:rPr>
      <w:sz w:val="18"/>
      <w:szCs w:val="18"/>
    </w:rPr>
  </w:style>
  <w:style w:type="character" w:customStyle="1" w:styleId="Char0">
    <w:name w:val="页脚 Char"/>
    <w:basedOn w:val="a0"/>
    <w:link w:val="a4"/>
    <w:uiPriority w:val="99"/>
    <w:rsid w:val="001A7B6E"/>
    <w:rPr>
      <w:sz w:val="18"/>
      <w:szCs w:val="18"/>
    </w:rPr>
  </w:style>
  <w:style w:type="paragraph" w:styleId="a5">
    <w:name w:val="List Paragraph"/>
    <w:basedOn w:val="a"/>
    <w:uiPriority w:val="34"/>
    <w:qFormat/>
    <w:rsid w:val="00DC1D60"/>
    <w:pPr>
      <w:ind w:firstLineChars="200" w:firstLine="420"/>
    </w:pPr>
  </w:style>
  <w:style w:type="paragraph" w:customStyle="1" w:styleId="1">
    <w:name w:val="列出段落1"/>
    <w:basedOn w:val="a"/>
    <w:qFormat/>
    <w:rsid w:val="00DC1D60"/>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425013"/>
    <w:rPr>
      <w:sz w:val="18"/>
      <w:szCs w:val="18"/>
    </w:rPr>
  </w:style>
  <w:style w:type="character" w:customStyle="1" w:styleId="Char1">
    <w:name w:val="批注框文本 Char"/>
    <w:basedOn w:val="a0"/>
    <w:link w:val="a6"/>
    <w:uiPriority w:val="99"/>
    <w:semiHidden/>
    <w:rsid w:val="004250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97066">
      <w:bodyDiv w:val="1"/>
      <w:marLeft w:val="0"/>
      <w:marRight w:val="0"/>
      <w:marTop w:val="0"/>
      <w:marBottom w:val="0"/>
      <w:divBdr>
        <w:top w:val="none" w:sz="0" w:space="0" w:color="auto"/>
        <w:left w:val="none" w:sz="0" w:space="0" w:color="auto"/>
        <w:bottom w:val="none" w:sz="0" w:space="0" w:color="auto"/>
        <w:right w:val="none" w:sz="0" w:space="0" w:color="auto"/>
      </w:divBdr>
    </w:div>
    <w:div w:id="736787190">
      <w:bodyDiv w:val="1"/>
      <w:marLeft w:val="0"/>
      <w:marRight w:val="0"/>
      <w:marTop w:val="0"/>
      <w:marBottom w:val="0"/>
      <w:divBdr>
        <w:top w:val="none" w:sz="0" w:space="0" w:color="auto"/>
        <w:left w:val="none" w:sz="0" w:space="0" w:color="auto"/>
        <w:bottom w:val="none" w:sz="0" w:space="0" w:color="auto"/>
        <w:right w:val="none" w:sz="0" w:space="0" w:color="auto"/>
      </w:divBdr>
    </w:div>
    <w:div w:id="755976572">
      <w:bodyDiv w:val="1"/>
      <w:marLeft w:val="0"/>
      <w:marRight w:val="0"/>
      <w:marTop w:val="0"/>
      <w:marBottom w:val="0"/>
      <w:divBdr>
        <w:top w:val="none" w:sz="0" w:space="0" w:color="auto"/>
        <w:left w:val="none" w:sz="0" w:space="0" w:color="auto"/>
        <w:bottom w:val="none" w:sz="0" w:space="0" w:color="auto"/>
        <w:right w:val="none" w:sz="0" w:space="0" w:color="auto"/>
      </w:divBdr>
    </w:div>
    <w:div w:id="1118915713">
      <w:bodyDiv w:val="1"/>
      <w:marLeft w:val="0"/>
      <w:marRight w:val="0"/>
      <w:marTop w:val="0"/>
      <w:marBottom w:val="0"/>
      <w:divBdr>
        <w:top w:val="none" w:sz="0" w:space="0" w:color="auto"/>
        <w:left w:val="none" w:sz="0" w:space="0" w:color="auto"/>
        <w:bottom w:val="none" w:sz="0" w:space="0" w:color="auto"/>
        <w:right w:val="none" w:sz="0" w:space="0" w:color="auto"/>
      </w:divBdr>
    </w:div>
    <w:div w:id="1251113844">
      <w:bodyDiv w:val="1"/>
      <w:marLeft w:val="0"/>
      <w:marRight w:val="0"/>
      <w:marTop w:val="0"/>
      <w:marBottom w:val="0"/>
      <w:divBdr>
        <w:top w:val="none" w:sz="0" w:space="0" w:color="auto"/>
        <w:left w:val="none" w:sz="0" w:space="0" w:color="auto"/>
        <w:bottom w:val="none" w:sz="0" w:space="0" w:color="auto"/>
        <w:right w:val="none" w:sz="0" w:space="0" w:color="auto"/>
      </w:divBdr>
    </w:div>
    <w:div w:id="1626736383">
      <w:bodyDiv w:val="1"/>
      <w:marLeft w:val="0"/>
      <w:marRight w:val="0"/>
      <w:marTop w:val="0"/>
      <w:marBottom w:val="0"/>
      <w:divBdr>
        <w:top w:val="none" w:sz="0" w:space="0" w:color="auto"/>
        <w:left w:val="none" w:sz="0" w:space="0" w:color="auto"/>
        <w:bottom w:val="none" w:sz="0" w:space="0" w:color="auto"/>
        <w:right w:val="none" w:sz="0" w:space="0" w:color="auto"/>
      </w:divBdr>
    </w:div>
    <w:div w:id="1714771789">
      <w:bodyDiv w:val="1"/>
      <w:marLeft w:val="0"/>
      <w:marRight w:val="0"/>
      <w:marTop w:val="0"/>
      <w:marBottom w:val="0"/>
      <w:divBdr>
        <w:top w:val="none" w:sz="0" w:space="0" w:color="auto"/>
        <w:left w:val="none" w:sz="0" w:space="0" w:color="auto"/>
        <w:bottom w:val="none" w:sz="0" w:space="0" w:color="auto"/>
        <w:right w:val="none" w:sz="0" w:space="0" w:color="auto"/>
      </w:divBdr>
    </w:div>
    <w:div w:id="1761102680">
      <w:bodyDiv w:val="1"/>
      <w:marLeft w:val="0"/>
      <w:marRight w:val="0"/>
      <w:marTop w:val="0"/>
      <w:marBottom w:val="0"/>
      <w:divBdr>
        <w:top w:val="none" w:sz="0" w:space="0" w:color="auto"/>
        <w:left w:val="none" w:sz="0" w:space="0" w:color="auto"/>
        <w:bottom w:val="none" w:sz="0" w:space="0" w:color="auto"/>
        <w:right w:val="none" w:sz="0" w:space="0" w:color="auto"/>
      </w:divBdr>
    </w:div>
    <w:div w:id="1813519851">
      <w:bodyDiv w:val="1"/>
      <w:marLeft w:val="0"/>
      <w:marRight w:val="0"/>
      <w:marTop w:val="0"/>
      <w:marBottom w:val="0"/>
      <w:divBdr>
        <w:top w:val="none" w:sz="0" w:space="0" w:color="auto"/>
        <w:left w:val="none" w:sz="0" w:space="0" w:color="auto"/>
        <w:bottom w:val="none" w:sz="0" w:space="0" w:color="auto"/>
        <w:right w:val="none" w:sz="0" w:space="0" w:color="auto"/>
      </w:divBdr>
    </w:div>
    <w:div w:id="1935282080">
      <w:bodyDiv w:val="1"/>
      <w:marLeft w:val="0"/>
      <w:marRight w:val="0"/>
      <w:marTop w:val="0"/>
      <w:marBottom w:val="0"/>
      <w:divBdr>
        <w:top w:val="none" w:sz="0" w:space="0" w:color="auto"/>
        <w:left w:val="none" w:sz="0" w:space="0" w:color="auto"/>
        <w:bottom w:val="none" w:sz="0" w:space="0" w:color="auto"/>
        <w:right w:val="none" w:sz="0" w:space="0" w:color="auto"/>
      </w:divBdr>
    </w:div>
    <w:div w:id="21142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44ABFD-2570-49C2-800F-D75DF613C496}"/>
</file>

<file path=customXml/itemProps2.xml><?xml version="1.0" encoding="utf-8"?>
<ds:datastoreItem xmlns:ds="http://schemas.openxmlformats.org/officeDocument/2006/customXml" ds:itemID="{1E84D364-9A4D-443A-B5A1-9E035CE624EE}"/>
</file>

<file path=customXml/itemProps3.xml><?xml version="1.0" encoding="utf-8"?>
<ds:datastoreItem xmlns:ds="http://schemas.openxmlformats.org/officeDocument/2006/customXml" ds:itemID="{EFD7431C-84F8-452C-AF78-1854A4F954E6}"/>
</file>

<file path=docProps/app.xml><?xml version="1.0" encoding="utf-8"?>
<Properties xmlns="http://schemas.openxmlformats.org/officeDocument/2006/extended-properties" xmlns:vt="http://schemas.openxmlformats.org/officeDocument/2006/docPropsVTypes">
  <Template>Normal</Template>
  <TotalTime>116</TotalTime>
  <Pages>7</Pages>
  <Words>440</Words>
  <Characters>2508</Characters>
  <Application>Microsoft Office Word</Application>
  <DocSecurity>0</DocSecurity>
  <Lines>20</Lines>
  <Paragraphs>5</Paragraphs>
  <ScaleCrop>false</ScaleCrop>
  <Company>Sinopec</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王巧凤</dc:creator>
  <cp:keywords/>
  <dc:description/>
  <cp:lastModifiedBy>王巧凤</cp:lastModifiedBy>
  <cp:revision>12</cp:revision>
  <cp:lastPrinted>2019-12-19T08:45:00Z</cp:lastPrinted>
  <dcterms:created xsi:type="dcterms:W3CDTF">2019-12-16T02:19:00Z</dcterms:created>
  <dcterms:modified xsi:type="dcterms:W3CDTF">2019-12-19T08:46:00Z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